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65FF" w14:textId="707FF696" w:rsidR="00E8647E" w:rsidRDefault="00E8647E" w:rsidP="00E8647E">
      <w:pPr>
        <w:pStyle w:val="Heading1"/>
      </w:pPr>
      <w:r w:rsidRPr="00E8647E">
        <w:t xml:space="preserve">Hepatitis </w:t>
      </w:r>
      <w:r w:rsidR="00F85B4F">
        <w:t>A and Hepatitis B as TWINRIX</w:t>
      </w:r>
      <w:r w:rsidRPr="00E8647E">
        <w:t xml:space="preserve"> </w:t>
      </w:r>
      <w:r w:rsidRPr="00EC2C9C">
        <w:t>Vaccin</w:t>
      </w:r>
      <w:r>
        <w:t>e</w:t>
      </w:r>
      <w:r w:rsidRPr="00EC2C9C">
        <w:t xml:space="preserve"> Protocol </w:t>
      </w:r>
    </w:p>
    <w:p w14:paraId="7EF18EB5" w14:textId="0FECD10E" w:rsidR="00847B16" w:rsidRPr="0017227E" w:rsidRDefault="00AA4F36" w:rsidP="0017227E">
      <w:pPr>
        <w:pStyle w:val="Subtitle"/>
      </w:pPr>
      <w:r w:rsidRPr="0017227E">
        <w:t xml:space="preserve">VACCINE PROTOCOL FOR </w:t>
      </w:r>
      <w:r w:rsidR="00F85B4F">
        <w:t>persons age 18 and older</w:t>
      </w:r>
    </w:p>
    <w:p w14:paraId="4BAE6FFB" w14:textId="3066A6C9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8B28CD">
        <w:rPr>
          <w:b/>
          <w:bCs/>
          <w:color w:val="C00000"/>
        </w:rPr>
        <w:t>December 17,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18BC8979" w14:textId="2BFE1953" w:rsidR="00E8647E" w:rsidRDefault="00E8647E" w:rsidP="00E8647E">
      <w:r w:rsidRPr="00E8647E">
        <w:t xml:space="preserve">To reduce incidence of morbidity and </w:t>
      </w:r>
      <w:r w:rsidRPr="00F85B4F">
        <w:t xml:space="preserve">mortality of </w:t>
      </w:r>
      <w:r w:rsidR="00F85B4F" w:rsidRPr="00F85B4F">
        <w:t xml:space="preserve">hepatitis A and </w:t>
      </w:r>
      <w:r w:rsidRPr="00F85B4F">
        <w:t>hepatitis B disease.</w:t>
      </w:r>
    </w:p>
    <w:p w14:paraId="7EA202C5" w14:textId="5ABABF76" w:rsidR="00D54576" w:rsidRPr="00E8647E" w:rsidRDefault="00D54576" w:rsidP="00E8647E">
      <w:bookmarkStart w:id="0" w:name="_Hlk216418560"/>
      <w:r w:rsidRPr="00D54576">
        <w:t>The indications for vaccination are based on recommendations from the American Academy of Pediatrics (AAP) and the American Academy of Family Physicians (AAFP).</w:t>
      </w:r>
      <w:bookmarkEnd w:id="0"/>
    </w:p>
    <w:p w14:paraId="473158AD" w14:textId="7C1DA7D5" w:rsidR="000B3E7D" w:rsidRDefault="000B3E7D" w:rsidP="000B3E7D">
      <w:pPr>
        <w:pStyle w:val="Heading2"/>
      </w:pPr>
      <w:r>
        <w:t>Policy of protocol</w:t>
      </w:r>
    </w:p>
    <w:p w14:paraId="02AFD21D" w14:textId="4AB1BF18" w:rsidR="0017227E" w:rsidRPr="0017227E" w:rsidRDefault="0017227E" w:rsidP="0017227E">
      <w:r w:rsidRPr="0017227E">
        <w:t xml:space="preserve">The nurse will implement this protocol for </w:t>
      </w:r>
      <w:r w:rsidR="00F85B4F" w:rsidRPr="00F85B4F">
        <w:t>TWINRIX vaccination.</w:t>
      </w:r>
    </w:p>
    <w:p w14:paraId="3856B515" w14:textId="75777426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F85B4F" w:rsidRPr="00F85B4F" w14:paraId="2B9A7AB7" w14:textId="77777777" w:rsidTr="00302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F85B4F" w:rsidRDefault="0015567C" w:rsidP="00F85B4F">
            <w:pPr>
              <w:pStyle w:val="TableText-calibri10"/>
            </w:pPr>
            <w:r w:rsidRPr="00F85B4F">
              <w:t>Criteria</w:t>
            </w:r>
          </w:p>
        </w:tc>
        <w:tc>
          <w:tcPr>
            <w:tcW w:w="5129" w:type="dxa"/>
          </w:tcPr>
          <w:p w14:paraId="7BC765D4" w14:textId="77777777" w:rsidR="0015567C" w:rsidRPr="00F85B4F" w:rsidRDefault="0015567C" w:rsidP="00F85B4F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Prescribed action</w:t>
            </w:r>
          </w:p>
        </w:tc>
      </w:tr>
      <w:tr w:rsidR="00F85B4F" w:rsidRPr="00F85B4F" w14:paraId="20DE80C1" w14:textId="77777777" w:rsidTr="0030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2A214B9" w:rsidR="00926635" w:rsidRPr="00F85B4F" w:rsidRDefault="00F85B4F" w:rsidP="00F85B4F">
            <w:pPr>
              <w:pStyle w:val="TableText-calibri10"/>
            </w:pPr>
            <w:r w:rsidRPr="00F85B4F">
              <w:t>Currently healthy person age 18 years or older.</w:t>
            </w:r>
          </w:p>
        </w:tc>
        <w:tc>
          <w:tcPr>
            <w:tcW w:w="5129" w:type="dxa"/>
          </w:tcPr>
          <w:p w14:paraId="3FAE6827" w14:textId="3AD89764" w:rsidR="00926635" w:rsidRPr="00F85B4F" w:rsidRDefault="00F85B4F" w:rsidP="00F85B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B4F">
              <w:t>Proceed to vaccinate if meets remaining criteria.</w:t>
            </w:r>
          </w:p>
        </w:tc>
      </w:tr>
      <w:tr w:rsidR="00F85B4F" w:rsidRPr="00F85B4F" w14:paraId="1A515FE4" w14:textId="77777777" w:rsidTr="00302C3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5BC8216B" w:rsidR="00926635" w:rsidRPr="00F85B4F" w:rsidRDefault="00F85B4F" w:rsidP="00F85B4F">
            <w:pPr>
              <w:pStyle w:val="TableText-calibri10"/>
            </w:pPr>
            <w:r w:rsidRPr="00F85B4F">
              <w:t>Person is younger than age 18 years.</w:t>
            </w:r>
          </w:p>
        </w:tc>
        <w:tc>
          <w:tcPr>
            <w:tcW w:w="5129" w:type="dxa"/>
          </w:tcPr>
          <w:p w14:paraId="3AD50C9B" w14:textId="007601E7" w:rsidR="00926635" w:rsidRPr="00F85B4F" w:rsidRDefault="00F85B4F" w:rsidP="00F85B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Do not give TWINRIX. Follow protocols for monovalent hepatitis A and hepatitis B</w:t>
            </w:r>
            <w:r w:rsidR="0096712C">
              <w:t xml:space="preserve"> vaccines.</w:t>
            </w:r>
          </w:p>
        </w:tc>
      </w:tr>
      <w:tr w:rsidR="00F85B4F" w:rsidRPr="00F85B4F" w14:paraId="65042057" w14:textId="77777777" w:rsidTr="0030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16699C0F" w:rsidR="00926635" w:rsidRPr="00F85B4F" w:rsidRDefault="00F85B4F" w:rsidP="00F85B4F">
            <w:pPr>
              <w:pStyle w:val="TableText-calibri10"/>
            </w:pPr>
            <w:r w:rsidRPr="00F85B4F">
              <w:t>Person has previously received an incomplete series of either hepatitis A (only 1 dose) or hepatitis B (only 1 or 2 doses).</w:t>
            </w:r>
          </w:p>
        </w:tc>
        <w:tc>
          <w:tcPr>
            <w:tcW w:w="5129" w:type="dxa"/>
          </w:tcPr>
          <w:p w14:paraId="103BE670" w14:textId="1B7C88F7" w:rsidR="00926635" w:rsidRPr="00F85B4F" w:rsidRDefault="00F85B4F" w:rsidP="00F85B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B4F">
              <w:t>Proceed to give the full three-dose series of TWINRIX.</w:t>
            </w:r>
          </w:p>
        </w:tc>
      </w:tr>
      <w:tr w:rsidR="00F85B4F" w:rsidRPr="00F85B4F" w14:paraId="637F300E" w14:textId="77777777" w:rsidTr="00302C3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6951CB3" w14:textId="3198219F" w:rsidR="00F85B4F" w:rsidRPr="00F85B4F" w:rsidRDefault="00F85B4F" w:rsidP="00F85B4F">
            <w:pPr>
              <w:pStyle w:val="TableText-calibri10"/>
            </w:pPr>
            <w:r w:rsidRPr="00F85B4F">
              <w:t>Person has previously completed either the hepatitis A vaccination series or the hepatitis B vaccination series</w:t>
            </w:r>
            <w:r w:rsidR="005B3AF9">
              <w:t>.</w:t>
            </w:r>
          </w:p>
        </w:tc>
        <w:tc>
          <w:tcPr>
            <w:tcW w:w="5129" w:type="dxa"/>
          </w:tcPr>
          <w:p w14:paraId="017AEA67" w14:textId="341C07D5" w:rsidR="00F85B4F" w:rsidRPr="00F85B4F" w:rsidRDefault="00F85B4F" w:rsidP="00F85B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Do not give TWINRIX; follow the appropriate protocols for the monovalent vaccine needed.</w:t>
            </w:r>
          </w:p>
        </w:tc>
      </w:tr>
      <w:tr w:rsidR="00F85B4F" w:rsidRPr="00F85B4F" w14:paraId="712C281D" w14:textId="77777777" w:rsidTr="0030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543CDA2" w14:textId="438E1F03" w:rsidR="00F85B4F" w:rsidRPr="00F85B4F" w:rsidRDefault="00F85B4F" w:rsidP="00F85B4F">
            <w:pPr>
              <w:pStyle w:val="TableText-calibri10"/>
            </w:pPr>
            <w:r w:rsidRPr="00F85B4F">
              <w:t>Person is more than 1 month behind routine schedule.</w:t>
            </w:r>
          </w:p>
        </w:tc>
        <w:tc>
          <w:tcPr>
            <w:tcW w:w="5129" w:type="dxa"/>
          </w:tcPr>
          <w:p w14:paraId="2534AF0C" w14:textId="547DCE7B" w:rsidR="00F85B4F" w:rsidRPr="00F85B4F" w:rsidRDefault="00F85B4F" w:rsidP="00F85B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B4F">
              <w:t>Follow minimal intervals for TWINRIX catch-up.</w:t>
            </w:r>
          </w:p>
        </w:tc>
      </w:tr>
      <w:tr w:rsidR="0096712C" w:rsidRPr="00F85B4F" w14:paraId="5E269A8E" w14:textId="77777777" w:rsidTr="00302C3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F572B8D" w14:textId="6008C481" w:rsidR="0096712C" w:rsidRPr="00F85B4F" w:rsidRDefault="0096712C" w:rsidP="00F85B4F">
            <w:pPr>
              <w:pStyle w:val="TableText-calibri10"/>
            </w:pPr>
            <w:r>
              <w:t xml:space="preserve">Person is traveling and will leave before completing the routine </w:t>
            </w:r>
            <w:proofErr w:type="spellStart"/>
            <w:r>
              <w:t>Twinrix</w:t>
            </w:r>
            <w:proofErr w:type="spellEnd"/>
            <w:r>
              <w:t xml:space="preserve"> schedule.</w:t>
            </w:r>
          </w:p>
        </w:tc>
        <w:tc>
          <w:tcPr>
            <w:tcW w:w="5129" w:type="dxa"/>
          </w:tcPr>
          <w:p w14:paraId="7E2EA2C0" w14:textId="3EB28409" w:rsidR="0096712C" w:rsidRPr="00F85B4F" w:rsidRDefault="0096712C" w:rsidP="00302C3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Follow the </w:t>
            </w:r>
            <w:r w:rsidR="00302C37">
              <w:t>4-dose</w:t>
            </w:r>
            <w:r w:rsidR="00F65D5D">
              <w:t xml:space="preserve"> </w:t>
            </w:r>
            <w:r>
              <w:t>a</w:t>
            </w:r>
            <w:r w:rsidR="008F6EB0">
              <w:t>ccelerated schedule, remind patient to return for the final dose at 12 months.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F85B4F" w14:paraId="03431DC1" w14:textId="77777777" w:rsidTr="00302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F85B4F" w:rsidRDefault="0015567C" w:rsidP="00F85B4F">
            <w:pPr>
              <w:pStyle w:val="TableText-calibri10"/>
            </w:pPr>
            <w:r w:rsidRPr="00F85B4F">
              <w:t>Criteria</w:t>
            </w:r>
          </w:p>
        </w:tc>
        <w:tc>
          <w:tcPr>
            <w:tcW w:w="5129" w:type="dxa"/>
          </w:tcPr>
          <w:p w14:paraId="4692A7FB" w14:textId="77777777" w:rsidR="0015567C" w:rsidRPr="00F85B4F" w:rsidRDefault="0015567C" w:rsidP="00F85B4F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Prescribed action</w:t>
            </w:r>
          </w:p>
        </w:tc>
      </w:tr>
      <w:tr w:rsidR="00185403" w:rsidRPr="00F85B4F" w14:paraId="7005D129" w14:textId="77777777" w:rsidTr="0030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4A33B86F" w:rsidR="00185403" w:rsidRPr="00F85B4F" w:rsidRDefault="00F85B4F" w:rsidP="00F85B4F">
            <w:pPr>
              <w:pStyle w:val="TableText-calibri10"/>
            </w:pPr>
            <w:r w:rsidRPr="00F85B4F">
              <w:t xml:space="preserve">Person had a </w:t>
            </w:r>
            <w:r w:rsidR="00AA754B" w:rsidRPr="00F85B4F">
              <w:t>s</w:t>
            </w:r>
            <w:r w:rsidR="00AA754B">
              <w:t>evere</w:t>
            </w:r>
            <w:r w:rsidR="00AA754B" w:rsidRPr="00F85B4F">
              <w:t xml:space="preserve"> </w:t>
            </w:r>
            <w:r w:rsidRPr="00F85B4F">
              <w:t>allergic reaction (anaphylaxis) to a previous dose of TWINRIX vaccine.</w:t>
            </w:r>
          </w:p>
        </w:tc>
        <w:tc>
          <w:tcPr>
            <w:tcW w:w="5129" w:type="dxa"/>
          </w:tcPr>
          <w:p w14:paraId="68751DD1" w14:textId="6162A0E3" w:rsidR="00185403" w:rsidRPr="00F85B4F" w:rsidRDefault="00E8647E" w:rsidP="00F85B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B4F">
              <w:t>Do not vaccinate; _____________________</w:t>
            </w:r>
          </w:p>
        </w:tc>
      </w:tr>
      <w:tr w:rsidR="00185403" w:rsidRPr="00F85B4F" w14:paraId="0B0C8027" w14:textId="77777777" w:rsidTr="00302C3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3D375909" w:rsidR="00185403" w:rsidRPr="00F85B4F" w:rsidRDefault="00F85B4F" w:rsidP="00F85B4F">
            <w:pPr>
              <w:pStyle w:val="TableText-calibri10"/>
            </w:pPr>
            <w:r w:rsidRPr="00F85B4F">
              <w:lastRenderedPageBreak/>
              <w:t xml:space="preserve">Person has a </w:t>
            </w:r>
            <w:r w:rsidR="00AA754B" w:rsidRPr="00F85B4F">
              <w:t>s</w:t>
            </w:r>
            <w:r w:rsidR="00AA754B">
              <w:t>evere</w:t>
            </w:r>
            <w:r w:rsidR="00AA754B" w:rsidRPr="00F85B4F">
              <w:t xml:space="preserve"> </w:t>
            </w:r>
            <w:r w:rsidRPr="00F85B4F">
              <w:t>allergy to a component of TWINRIX vaccine</w:t>
            </w:r>
            <w:r w:rsidR="001167E4">
              <w:t>, including neomycin and yeast</w:t>
            </w:r>
            <w:r w:rsidRPr="00F85B4F">
              <w:t>.</w:t>
            </w:r>
          </w:p>
        </w:tc>
        <w:tc>
          <w:tcPr>
            <w:tcW w:w="5129" w:type="dxa"/>
          </w:tcPr>
          <w:p w14:paraId="753EF366" w14:textId="7F5639D4" w:rsidR="00185403" w:rsidRPr="00F85B4F" w:rsidRDefault="00E8647E" w:rsidP="00F85B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F85B4F" w:rsidRPr="00F85B4F" w14:paraId="7BD181FC" w14:textId="77777777" w:rsidTr="00302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F85B4F" w:rsidRDefault="0015567C" w:rsidP="00F85B4F">
            <w:pPr>
              <w:pStyle w:val="TableText-calibri10"/>
            </w:pPr>
            <w:r w:rsidRPr="00F85B4F">
              <w:t>Criteria</w:t>
            </w:r>
          </w:p>
        </w:tc>
        <w:tc>
          <w:tcPr>
            <w:tcW w:w="5129" w:type="dxa"/>
          </w:tcPr>
          <w:p w14:paraId="176E4172" w14:textId="77777777" w:rsidR="0015567C" w:rsidRPr="00F85B4F" w:rsidRDefault="0015567C" w:rsidP="00F85B4F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Prescribed action</w:t>
            </w:r>
          </w:p>
        </w:tc>
      </w:tr>
      <w:tr w:rsidR="00AA03F8" w:rsidRPr="00F85B4F" w14:paraId="1AD14A9A" w14:textId="77777777" w:rsidTr="0030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8C18B91" w14:textId="0F5F83FE" w:rsidR="00AA03F8" w:rsidRPr="00F85B4F" w:rsidRDefault="009D3943" w:rsidP="00F85B4F">
            <w:pPr>
              <w:pStyle w:val="TableText-calibri10"/>
            </w:pPr>
            <w:r>
              <w:t>P</w:t>
            </w:r>
            <w:r w:rsidR="00AA03F8" w:rsidRPr="00F85B4F">
              <w:t>erson is currently on antibiotic therapy.</w:t>
            </w:r>
          </w:p>
        </w:tc>
        <w:tc>
          <w:tcPr>
            <w:tcW w:w="5129" w:type="dxa"/>
          </w:tcPr>
          <w:p w14:paraId="5413E8A8" w14:textId="19659ED5" w:rsidR="00AA03F8" w:rsidRPr="00F85B4F" w:rsidRDefault="00AA03F8" w:rsidP="00F85B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B4F">
              <w:t>Proceed to vaccinate.</w:t>
            </w:r>
          </w:p>
        </w:tc>
      </w:tr>
      <w:tr w:rsidR="00F85B4F" w:rsidRPr="00F85B4F" w14:paraId="0DDCB27F" w14:textId="77777777" w:rsidTr="00302C3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4B8686D4" w:rsidR="06C91713" w:rsidRPr="00F85B4F" w:rsidRDefault="00AA4F36" w:rsidP="008B28CD">
            <w:pPr>
              <w:pStyle w:val="TableText-calibri10"/>
            </w:pPr>
            <w:r w:rsidRPr="00F85B4F">
              <w:t>Person has a mild illness defined as</w:t>
            </w:r>
            <w:r w:rsidR="008B28CD">
              <w:t xml:space="preserve"> </w:t>
            </w:r>
            <w:r w:rsidRPr="00F85B4F">
              <w:t>temperature less than ______ °F/°C with</w:t>
            </w:r>
            <w:r w:rsidR="008B28CD">
              <w:t xml:space="preserve"> </w:t>
            </w:r>
            <w:r w:rsidRPr="00F85B4F">
              <w:t>symptoms such as: _____ [to be</w:t>
            </w:r>
            <w:r w:rsidR="008B28CD">
              <w:t xml:space="preserve"> </w:t>
            </w:r>
            <w:r w:rsidRPr="00F85B4F">
              <w:t>determined by medical prescriber]</w:t>
            </w:r>
          </w:p>
        </w:tc>
        <w:tc>
          <w:tcPr>
            <w:tcW w:w="5129" w:type="dxa"/>
          </w:tcPr>
          <w:p w14:paraId="6FBAFC44" w14:textId="29F587B5" w:rsidR="06C91713" w:rsidRPr="00F85B4F" w:rsidRDefault="00E8647E" w:rsidP="00F85B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4F">
              <w:t>Proceed to vaccinate.</w:t>
            </w:r>
          </w:p>
        </w:tc>
      </w:tr>
      <w:tr w:rsidR="00F85B4F" w:rsidRPr="00F85B4F" w14:paraId="6D020650" w14:textId="77777777" w:rsidTr="0030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E17A84A" w14:textId="2213DFE3" w:rsidR="00AA4F36" w:rsidRPr="00F85B4F" w:rsidRDefault="00AA4F36" w:rsidP="008B28CD">
            <w:pPr>
              <w:pStyle w:val="TableText-calibri10"/>
            </w:pPr>
            <w:r w:rsidRPr="00F85B4F">
              <w:t>Person has a moderate to severe illness</w:t>
            </w:r>
            <w:r w:rsidR="008B28CD">
              <w:t xml:space="preserve"> </w:t>
            </w:r>
            <w:r w:rsidRPr="00F85B4F">
              <w:t>defined as</w:t>
            </w:r>
            <w:r w:rsidR="008B28CD">
              <w:t xml:space="preserve"> </w:t>
            </w:r>
            <w:r w:rsidRPr="00F85B4F">
              <w:t>temperature less than _____</w:t>
            </w:r>
            <w:r w:rsidR="008B28CD">
              <w:t xml:space="preserve"> </w:t>
            </w:r>
            <w:r w:rsidRPr="00F85B4F">
              <w:t>°F/°C with symptoms such as: ____ [to be</w:t>
            </w:r>
            <w:r w:rsidR="008B28CD">
              <w:t xml:space="preserve"> </w:t>
            </w:r>
            <w:r w:rsidRPr="00F85B4F">
              <w:t>determined by medical prescriber]</w:t>
            </w:r>
          </w:p>
        </w:tc>
        <w:tc>
          <w:tcPr>
            <w:tcW w:w="5129" w:type="dxa"/>
          </w:tcPr>
          <w:p w14:paraId="0C9FE432" w14:textId="1604C67F" w:rsidR="00AA4F36" w:rsidRPr="00F85B4F" w:rsidRDefault="007C1645" w:rsidP="00F85B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B4F">
              <w:t>Defer vaccination and [to be determined by medical prescriber]</w:t>
            </w:r>
          </w:p>
        </w:tc>
      </w:tr>
    </w:tbl>
    <w:p w14:paraId="52EB7641" w14:textId="17B0E7D9" w:rsidR="0015567C" w:rsidRDefault="0015567C" w:rsidP="00FA3AE0">
      <w:pPr>
        <w:pStyle w:val="Heading2"/>
        <w:keepNext/>
      </w:pPr>
      <w:r>
        <w:t>Prescription</w:t>
      </w:r>
    </w:p>
    <w:p w14:paraId="35099C43" w14:textId="0F0F8900" w:rsidR="00F85B4F" w:rsidRPr="00F85B4F" w:rsidRDefault="00F85B4F" w:rsidP="00F85B4F">
      <w:r w:rsidRPr="00F85B4F">
        <w:t>Give TWINRIX (</w:t>
      </w:r>
      <w:proofErr w:type="spellStart"/>
      <w:r w:rsidRPr="00F85B4F">
        <w:t>Havrix</w:t>
      </w:r>
      <w:proofErr w:type="spellEnd"/>
      <w:r w:rsidRPr="00F85B4F">
        <w:t xml:space="preserve"> 720 </w:t>
      </w:r>
      <w:r w:rsidR="006A4679" w:rsidRPr="00F85B4F">
        <w:t>E</w:t>
      </w:r>
      <w:r w:rsidR="006A4679">
        <w:t>LISA</w:t>
      </w:r>
      <w:r w:rsidR="006A4679" w:rsidRPr="00F85B4F">
        <w:t xml:space="preserve"> </w:t>
      </w:r>
      <w:r w:rsidRPr="00F85B4F">
        <w:t xml:space="preserve">units &amp; </w:t>
      </w:r>
      <w:proofErr w:type="spellStart"/>
      <w:r w:rsidRPr="00F85B4F">
        <w:t>Engerix</w:t>
      </w:r>
      <w:proofErr w:type="spellEnd"/>
      <w:r w:rsidRPr="00F85B4F">
        <w:t xml:space="preserve">-B 20 µg) 1.0 ml, IM, for </w:t>
      </w:r>
      <w:r w:rsidR="00E30975">
        <w:t xml:space="preserve">either </w:t>
      </w:r>
      <w:r w:rsidR="00563D25">
        <w:t>schedule:</w:t>
      </w:r>
    </w:p>
    <w:p w14:paraId="1E5B52FD" w14:textId="51D12712" w:rsidR="00563D25" w:rsidRDefault="00563D25" w:rsidP="00302C37">
      <w:pPr>
        <w:pStyle w:val="Heading3"/>
      </w:pPr>
      <w:r>
        <w:t xml:space="preserve">3-dose series </w:t>
      </w:r>
      <w:r w:rsidR="00D0013B">
        <w:t>(routine and catch-up schedule)</w:t>
      </w:r>
    </w:p>
    <w:p w14:paraId="4CBC840A" w14:textId="288556AF" w:rsidR="00F85B4F" w:rsidRPr="00F85B4F" w:rsidRDefault="00F85B4F" w:rsidP="00302C37">
      <w:pPr>
        <w:pStyle w:val="ListBullet"/>
      </w:pPr>
      <w:r w:rsidRPr="00F85B4F">
        <w:t>Follow a schedule of 0, 1, and 6 months.</w:t>
      </w:r>
    </w:p>
    <w:p w14:paraId="77225B55" w14:textId="77777777" w:rsidR="00F85B4F" w:rsidRDefault="00F85B4F" w:rsidP="00302C37">
      <w:pPr>
        <w:pStyle w:val="ListBullet"/>
      </w:pPr>
      <w:r w:rsidRPr="00F85B4F">
        <w:t>Follow these minimum intervals for TWINRIX vaccination if catch-up is necessary:</w:t>
      </w:r>
    </w:p>
    <w:p w14:paraId="7C16B4B3" w14:textId="76E820AD" w:rsidR="00F85B4F" w:rsidRPr="00F85B4F" w:rsidRDefault="00F85B4F" w:rsidP="00302C37">
      <w:pPr>
        <w:pStyle w:val="ListBullet"/>
        <w:numPr>
          <w:ilvl w:val="1"/>
          <w:numId w:val="9"/>
        </w:numPr>
      </w:pPr>
      <w:r w:rsidRPr="00F85B4F">
        <w:t>Give second dose at least four weeks after dose one.</w:t>
      </w:r>
    </w:p>
    <w:p w14:paraId="0E1F3BBB" w14:textId="2DBD9F28" w:rsidR="00F85B4F" w:rsidRDefault="00F85B4F" w:rsidP="00302C37">
      <w:pPr>
        <w:pStyle w:val="ListBullet"/>
        <w:numPr>
          <w:ilvl w:val="1"/>
          <w:numId w:val="9"/>
        </w:numPr>
      </w:pPr>
      <w:r w:rsidRPr="00F85B4F">
        <w:t>Give third dose at least five months after second dose AND no sooner than 6 months after first dose.</w:t>
      </w:r>
    </w:p>
    <w:p w14:paraId="203AF35F" w14:textId="3078D70F" w:rsidR="00252479" w:rsidRDefault="00252479" w:rsidP="00302C37">
      <w:pPr>
        <w:pStyle w:val="Heading3"/>
      </w:pPr>
      <w:r>
        <w:t>4-dose series</w:t>
      </w:r>
      <w:r w:rsidR="00404E2F">
        <w:t xml:space="preserve"> (accelerated </w:t>
      </w:r>
      <w:r w:rsidR="00875090">
        <w:t>schedule)*</w:t>
      </w:r>
      <w:r>
        <w:t>:</w:t>
      </w:r>
    </w:p>
    <w:p w14:paraId="6C739E00" w14:textId="66677A53" w:rsidR="00AC76B7" w:rsidRDefault="001969BE" w:rsidP="00302C37">
      <w:pPr>
        <w:pStyle w:val="ListBullet"/>
      </w:pPr>
      <w:r>
        <w:t>Follow a schedule of 0, 7, and 21-30</w:t>
      </w:r>
      <w:r w:rsidR="00835484">
        <w:t xml:space="preserve"> days, followed by a booster dose </w:t>
      </w:r>
      <w:r w:rsidR="007B300F">
        <w:t>at 12 months</w:t>
      </w:r>
      <w:r w:rsidR="006F02FC">
        <w:t xml:space="preserve"> after dose </w:t>
      </w:r>
      <w:r w:rsidR="00636189">
        <w:t>one.</w:t>
      </w:r>
    </w:p>
    <w:p w14:paraId="1B4BDECC" w14:textId="5164CB46" w:rsidR="00817538" w:rsidRPr="00F85B4F" w:rsidRDefault="00817538" w:rsidP="00302C37">
      <w:pPr>
        <w:pStyle w:val="NormalLtBlueBackground"/>
      </w:pPr>
      <w:r>
        <w:t xml:space="preserve">*The 4-day grace period does not apply to the first 3 doses of the </w:t>
      </w:r>
      <w:r w:rsidR="0007089B">
        <w:t>accelerated schedule</w:t>
      </w:r>
      <w:r w:rsidR="00AB134B">
        <w:t>.</w:t>
      </w:r>
    </w:p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lastRenderedPageBreak/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302C37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FF0C" w14:textId="77777777" w:rsidR="00E4376B" w:rsidRDefault="00E4376B" w:rsidP="00D36495">
      <w:r>
        <w:separator/>
      </w:r>
    </w:p>
  </w:endnote>
  <w:endnote w:type="continuationSeparator" w:id="0">
    <w:p w14:paraId="266B3A42" w14:textId="77777777" w:rsidR="00E4376B" w:rsidRDefault="00E4376B" w:rsidP="00D36495">
      <w:r>
        <w:continuationSeparator/>
      </w:r>
    </w:p>
  </w:endnote>
  <w:endnote w:type="continuationNotice" w:id="1">
    <w:p w14:paraId="69DEB4DC" w14:textId="77777777" w:rsidR="00E4376B" w:rsidRDefault="00E437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3D0F" w14:textId="77777777" w:rsidR="00E4376B" w:rsidRDefault="00E4376B" w:rsidP="00D36495">
      <w:r>
        <w:separator/>
      </w:r>
    </w:p>
  </w:footnote>
  <w:footnote w:type="continuationSeparator" w:id="0">
    <w:p w14:paraId="15D459D2" w14:textId="77777777" w:rsidR="00E4376B" w:rsidRDefault="00E4376B" w:rsidP="00D36495">
      <w:r>
        <w:continuationSeparator/>
      </w:r>
    </w:p>
  </w:footnote>
  <w:footnote w:type="continuationNotice" w:id="1">
    <w:p w14:paraId="59E406EA" w14:textId="77777777" w:rsidR="00E4376B" w:rsidRDefault="00E437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0ADBBDB1" w:rsidR="00782710" w:rsidRPr="00ED44B8" w:rsidRDefault="00ED44B8" w:rsidP="00ED44B8">
    <w:pPr>
      <w:pStyle w:val="Header"/>
    </w:pPr>
    <w:r w:rsidRPr="00E8647E">
      <w:t xml:space="preserve">Hepatitis </w:t>
    </w:r>
    <w:r>
      <w:t>A and Hepatitis B as TWINRIX</w:t>
    </w:r>
    <w:r w:rsidRPr="00E8647E">
      <w:t xml:space="preserve"> </w:t>
    </w:r>
    <w:r w:rsidRPr="00EC2C9C">
      <w:t>Vaccin</w:t>
    </w:r>
    <w:r>
      <w:t>e</w:t>
    </w:r>
    <w:r w:rsidRPr="00EC2C9C">
      <w:t xml:space="preserve"> Protocol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6538995">
    <w:abstractNumId w:val="11"/>
  </w:num>
  <w:num w:numId="2" w16cid:durableId="14579389">
    <w:abstractNumId w:val="1"/>
  </w:num>
  <w:num w:numId="3" w16cid:durableId="388842139">
    <w:abstractNumId w:val="0"/>
  </w:num>
  <w:num w:numId="4" w16cid:durableId="880631550">
    <w:abstractNumId w:val="9"/>
  </w:num>
  <w:num w:numId="5" w16cid:durableId="618682814">
    <w:abstractNumId w:val="13"/>
  </w:num>
  <w:num w:numId="6" w16cid:durableId="807287436">
    <w:abstractNumId w:val="3"/>
  </w:num>
  <w:num w:numId="7" w16cid:durableId="343672001">
    <w:abstractNumId w:val="2"/>
  </w:num>
  <w:num w:numId="8" w16cid:durableId="615256146">
    <w:abstractNumId w:val="7"/>
  </w:num>
  <w:num w:numId="9" w16cid:durableId="42799115">
    <w:abstractNumId w:val="5"/>
  </w:num>
  <w:num w:numId="10" w16cid:durableId="1054695258">
    <w:abstractNumId w:val="12"/>
  </w:num>
  <w:num w:numId="11" w16cid:durableId="1396126815">
    <w:abstractNumId w:val="10"/>
  </w:num>
  <w:num w:numId="12" w16cid:durableId="1858080267">
    <w:abstractNumId w:val="6"/>
  </w:num>
  <w:num w:numId="13" w16cid:durableId="953554706">
    <w:abstractNumId w:val="8"/>
  </w:num>
  <w:num w:numId="14" w16cid:durableId="93822240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12A"/>
    <w:rsid w:val="00046381"/>
    <w:rsid w:val="000465D8"/>
    <w:rsid w:val="0004688B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9B"/>
    <w:rsid w:val="000708F8"/>
    <w:rsid w:val="00070B69"/>
    <w:rsid w:val="00071156"/>
    <w:rsid w:val="00071E90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4A1"/>
    <w:rsid w:val="000B06C5"/>
    <w:rsid w:val="000B1C9A"/>
    <w:rsid w:val="000B1E53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4FF0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7E4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012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27E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69BE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44E6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569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7DD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2479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57D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4D57"/>
    <w:rsid w:val="002E5A01"/>
    <w:rsid w:val="002E5D7E"/>
    <w:rsid w:val="002E68AB"/>
    <w:rsid w:val="002E6A3D"/>
    <w:rsid w:val="002E6D8D"/>
    <w:rsid w:val="002E7798"/>
    <w:rsid w:val="002E789F"/>
    <w:rsid w:val="002E7B59"/>
    <w:rsid w:val="002F1392"/>
    <w:rsid w:val="002F21DA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2C37"/>
    <w:rsid w:val="00304A4C"/>
    <w:rsid w:val="003050F9"/>
    <w:rsid w:val="0030560B"/>
    <w:rsid w:val="003100B0"/>
    <w:rsid w:val="003101F9"/>
    <w:rsid w:val="00311076"/>
    <w:rsid w:val="0031175D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1FC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11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39BA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E2F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66A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3D25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AF9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58C"/>
    <w:rsid w:val="005D496E"/>
    <w:rsid w:val="005D5947"/>
    <w:rsid w:val="005D5F48"/>
    <w:rsid w:val="005D7179"/>
    <w:rsid w:val="005E0033"/>
    <w:rsid w:val="005E09B1"/>
    <w:rsid w:val="005E1239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189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57EA5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679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5BF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02FC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9C7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00F"/>
    <w:rsid w:val="007B3222"/>
    <w:rsid w:val="007B34F4"/>
    <w:rsid w:val="007B364A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538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5484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98D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090"/>
    <w:rsid w:val="00875B9F"/>
    <w:rsid w:val="0087622A"/>
    <w:rsid w:val="00876410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57F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28CD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6EB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12C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943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67B07"/>
    <w:rsid w:val="00A707CB"/>
    <w:rsid w:val="00A70E55"/>
    <w:rsid w:val="00A71358"/>
    <w:rsid w:val="00A71DB7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BC8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3F8"/>
    <w:rsid w:val="00AA09BF"/>
    <w:rsid w:val="00AA11B6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A754B"/>
    <w:rsid w:val="00AB022A"/>
    <w:rsid w:val="00AB05D6"/>
    <w:rsid w:val="00AB0FE5"/>
    <w:rsid w:val="00AB134B"/>
    <w:rsid w:val="00AB135B"/>
    <w:rsid w:val="00AB1A68"/>
    <w:rsid w:val="00AB2372"/>
    <w:rsid w:val="00AB2B69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6B7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499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1639"/>
    <w:rsid w:val="00B43277"/>
    <w:rsid w:val="00B4332B"/>
    <w:rsid w:val="00B439FC"/>
    <w:rsid w:val="00B44D3C"/>
    <w:rsid w:val="00B4589D"/>
    <w:rsid w:val="00B45CED"/>
    <w:rsid w:val="00B46D2A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798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A4D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59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492E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9B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29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A60"/>
    <w:rsid w:val="00CD7BBE"/>
    <w:rsid w:val="00CE003B"/>
    <w:rsid w:val="00CE0E3A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217"/>
    <w:rsid w:val="00CF4B1C"/>
    <w:rsid w:val="00CF55BC"/>
    <w:rsid w:val="00CF5811"/>
    <w:rsid w:val="00CF6B41"/>
    <w:rsid w:val="00CF6BF8"/>
    <w:rsid w:val="00D0013B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057C"/>
    <w:rsid w:val="00D416FE"/>
    <w:rsid w:val="00D432E5"/>
    <w:rsid w:val="00D43A2C"/>
    <w:rsid w:val="00D43B51"/>
    <w:rsid w:val="00D448F0"/>
    <w:rsid w:val="00D44FF3"/>
    <w:rsid w:val="00D45254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576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975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76B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54E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47E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6BFB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4B8"/>
    <w:rsid w:val="00ED488C"/>
    <w:rsid w:val="00ED4A99"/>
    <w:rsid w:val="00ED5374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2DC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44"/>
    <w:rsid w:val="00F309AB"/>
    <w:rsid w:val="00F30C1D"/>
    <w:rsid w:val="00F30D42"/>
    <w:rsid w:val="00F32717"/>
    <w:rsid w:val="00F327D0"/>
    <w:rsid w:val="00F32FB1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5D5D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4F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98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21171A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699E621-93BC-4CAB-87B8-9DADD213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E4D57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E4D5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E4D57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E4D57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E4D57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E4D57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6B55BF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117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175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75090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04E0B-CE7D-49D0-8BFE-78ED8F7C1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5469566-ff15-40dd-a806-b3ff38c3d566"/>
    <ds:schemaRef ds:uri="fff41837-5838-4dec-ad5d-0fd8d2f0516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A and Hepatitis B as TWINRIX Vaccine Protocol</vt:lpstr>
    </vt:vector>
  </TitlesOfParts>
  <Company>State of Minnesota</Company>
  <LinksUpToDate>false</LinksUpToDate>
  <CharactersWithSpaces>3897</CharactersWithSpaces>
  <SharedDoc>false</SharedDoc>
  <HLinks>
    <vt:vector size="6" baseType="variant"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A and Hepatitis B as TWINRIX Vaccine Protocol</dc:title>
  <dc:subject>Hepatitis A and Hepatitis B as TWINRIX Vaccine Protocol</dc:subject>
  <dc:creator>Minnesota Dept. of Health</dc:creator>
  <cp:keywords/>
  <dc:description/>
  <cp:lastModifiedBy>Schultz, Tracy (She/Her/Hers) (MDH)</cp:lastModifiedBy>
  <cp:revision>7</cp:revision>
  <cp:lastPrinted>2016-12-14T18:03:00Z</cp:lastPrinted>
  <dcterms:created xsi:type="dcterms:W3CDTF">2023-06-02T20:03:00Z</dcterms:created>
  <dcterms:modified xsi:type="dcterms:W3CDTF">2026-01-15T16:05:00Z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