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672" w14:textId="6E7C192A" w:rsidR="002662F5" w:rsidRDefault="1E18FF41" w:rsidP="00B93F3C">
      <w:pPr>
        <w:pStyle w:val="Heading1"/>
      </w:pPr>
      <w:r>
        <w:t>Tet</w:t>
      </w:r>
      <w:r w:rsidR="00892125">
        <w:t>anus and Diphtheria</w:t>
      </w:r>
      <w:r w:rsidR="002662F5" w:rsidRPr="002662F5">
        <w:t xml:space="preserve"> </w:t>
      </w:r>
      <w:r w:rsidR="00CE7311">
        <w:t>(</w:t>
      </w:r>
      <w:r w:rsidR="004E4280">
        <w:t>Td</w:t>
      </w:r>
      <w:r w:rsidR="00CE7311">
        <w:t xml:space="preserve">) </w:t>
      </w:r>
      <w:r w:rsidR="002662F5" w:rsidRPr="002662F5">
        <w:t xml:space="preserve">Vaccine Protocol </w:t>
      </w:r>
    </w:p>
    <w:p w14:paraId="686777CC" w14:textId="29DE585F" w:rsidR="00752857" w:rsidRPr="00752857" w:rsidRDefault="00752857" w:rsidP="00902145">
      <w:pPr>
        <w:pStyle w:val="Subtitle"/>
      </w:pPr>
      <w:r>
        <w:t>Vaccine Protocol for children less than age 7 years</w:t>
      </w:r>
      <w:r w:rsidR="00930DD3">
        <w:t xml:space="preserve"> </w:t>
      </w:r>
      <w:r w:rsidR="000B146A">
        <w:t>with contraindication</w:t>
      </w:r>
      <w:r w:rsidR="00930DD3">
        <w:t xml:space="preserve"> to pertussis</w:t>
      </w:r>
      <w:r w:rsidR="0049341C">
        <w:t>-</w:t>
      </w:r>
      <w:r w:rsidR="00930DD3">
        <w:t xml:space="preserve">containing vaccine </w:t>
      </w:r>
    </w:p>
    <w:p w14:paraId="4BAE6FFB" w14:textId="38C9FDE7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7B07EB">
        <w:rPr>
          <w:b/>
          <w:bCs/>
          <w:color w:val="C00000"/>
        </w:rPr>
        <w:t>March 2</w:t>
      </w:r>
      <w:r w:rsidR="00A15F0D">
        <w:rPr>
          <w:b/>
          <w:bCs/>
          <w:color w:val="C00000"/>
        </w:rPr>
        <w:t>6</w:t>
      </w:r>
      <w:r w:rsidR="007B07EB">
        <w:rPr>
          <w:b/>
          <w:bCs/>
          <w:color w:val="C00000"/>
        </w:rPr>
        <w:t>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737DE869" w14:textId="1D9FC3BE" w:rsidR="00902145" w:rsidRPr="00902145" w:rsidRDefault="00752857" w:rsidP="00902145">
      <w:r w:rsidRPr="00902145">
        <w:t>To reduce incidence of morbidity and mortality of diphtheria and tetanus disease.</w:t>
      </w:r>
    </w:p>
    <w:p w14:paraId="473158AD" w14:textId="5EBF7F27" w:rsidR="000B3E7D" w:rsidRDefault="000B3E7D" w:rsidP="000B3E7D">
      <w:pPr>
        <w:pStyle w:val="Heading2"/>
      </w:pPr>
      <w:r>
        <w:t>Policy of protocol</w:t>
      </w:r>
    </w:p>
    <w:p w14:paraId="719E6733" w14:textId="07959DED" w:rsidR="00902145" w:rsidRDefault="00752857" w:rsidP="00902145">
      <w:r w:rsidRPr="00902145">
        <w:t xml:space="preserve">The nurse will implement this protocol for </w:t>
      </w:r>
      <w:r w:rsidR="004903D9">
        <w:t>Td</w:t>
      </w:r>
      <w:r w:rsidRPr="00902145">
        <w:t xml:space="preserve"> vaccination</w:t>
      </w:r>
      <w:r w:rsidR="004903D9">
        <w:t xml:space="preserve"> in children less than age 7 years</w:t>
      </w:r>
      <w:r w:rsidR="009F26FF">
        <w:t xml:space="preserve"> for </w:t>
      </w:r>
      <w:r w:rsidR="00475EB8">
        <w:t>c</w:t>
      </w:r>
      <w:r w:rsidR="009F26FF">
        <w:t xml:space="preserve">hildren &lt;7 years old who </w:t>
      </w:r>
      <w:r w:rsidR="009C790B">
        <w:t xml:space="preserve">have a contraindication </w:t>
      </w:r>
      <w:r w:rsidR="0049341C">
        <w:t>to</w:t>
      </w:r>
      <w:r w:rsidR="009C790B">
        <w:t xml:space="preserve"> pertussis-containing vaccine.</w:t>
      </w:r>
    </w:p>
    <w:p w14:paraId="2D917756" w14:textId="58FA83D1" w:rsidR="00490C72" w:rsidRPr="00902145" w:rsidRDefault="00490C72" w:rsidP="00902145">
      <w:bookmarkStart w:id="0" w:name="_Hlk216418560"/>
      <w:r w:rsidRPr="00490C72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4049FDE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527" w:type="dxa"/>
        <w:tblLayout w:type="fixed"/>
        <w:tblLook w:val="04A0" w:firstRow="1" w:lastRow="0" w:firstColumn="1" w:lastColumn="0" w:noHBand="0" w:noVBand="1"/>
      </w:tblPr>
      <w:tblGrid>
        <w:gridCol w:w="5128"/>
        <w:gridCol w:w="5399"/>
      </w:tblGrid>
      <w:tr w:rsidR="00902145" w:rsidRPr="00902145" w14:paraId="2B9A7AB7" w14:textId="77777777" w:rsidTr="001E0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902145" w:rsidRDefault="0015567C" w:rsidP="00902145">
            <w:pPr>
              <w:pStyle w:val="TableText-calibri10"/>
            </w:pPr>
            <w:r w:rsidRPr="00902145">
              <w:t>Criteria</w:t>
            </w:r>
          </w:p>
        </w:tc>
        <w:tc>
          <w:tcPr>
            <w:tcW w:w="5399" w:type="dxa"/>
          </w:tcPr>
          <w:p w14:paraId="7BC765D4" w14:textId="77777777" w:rsidR="0015567C" w:rsidRPr="00902145" w:rsidRDefault="0015567C" w:rsidP="0090214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2145">
              <w:t>Prescribed action</w:t>
            </w:r>
          </w:p>
        </w:tc>
      </w:tr>
      <w:tr w:rsidR="00902145" w:rsidRPr="00902145" w14:paraId="20DE80C1" w14:textId="77777777" w:rsidTr="001E0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48143016" w:rsidR="00926635" w:rsidRPr="00902145" w:rsidRDefault="006338C8" w:rsidP="00902145">
            <w:pPr>
              <w:pStyle w:val="TableText-calibri10"/>
            </w:pPr>
            <w:r>
              <w:t xml:space="preserve">Child is </w:t>
            </w:r>
            <w:r w:rsidR="00EC1B9A">
              <w:t>&lt;7 years old and has a history of</w:t>
            </w:r>
            <w:r w:rsidR="009B733A">
              <w:t xml:space="preserve"> encephalopathy not attributable to another identifiable cause </w:t>
            </w:r>
            <w:r w:rsidR="00EC1B9A">
              <w:t xml:space="preserve">that </w:t>
            </w:r>
            <w:r w:rsidR="009B733A">
              <w:t>occur</w:t>
            </w:r>
            <w:r w:rsidR="00EC1B9A">
              <w:t>red</w:t>
            </w:r>
            <w:r w:rsidR="009B733A">
              <w:t xml:space="preserve"> within 7 days of administration of a previous dose of pertussis-containing vaccine. </w:t>
            </w:r>
            <w:r w:rsidR="00752857" w:rsidRPr="00902145">
              <w:t xml:space="preserve"> </w:t>
            </w:r>
          </w:p>
        </w:tc>
        <w:tc>
          <w:tcPr>
            <w:tcW w:w="5399" w:type="dxa"/>
          </w:tcPr>
          <w:p w14:paraId="3FAE6827" w14:textId="32891F19" w:rsidR="00926635" w:rsidRPr="00902145" w:rsidRDefault="002662F5" w:rsidP="0090214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145">
              <w:t xml:space="preserve">Proceed to vaccinate if meets remaining </w:t>
            </w:r>
            <w:r w:rsidR="00655E00">
              <w:t xml:space="preserve">Td </w:t>
            </w:r>
            <w:r w:rsidRPr="00902145">
              <w:t>criteria</w:t>
            </w:r>
            <w:r w:rsidR="0099585B">
              <w:t xml:space="preserve"> and has been</w:t>
            </w:r>
            <w:r w:rsidR="00BE430A">
              <w:t xml:space="preserve"> evaluated by a </w:t>
            </w:r>
            <w:r w:rsidR="00DE35DE">
              <w:t>health</w:t>
            </w:r>
            <w:r w:rsidR="00BE430A">
              <w:t xml:space="preserve"> care provider for diagnosis and </w:t>
            </w:r>
            <w:r w:rsidR="00AC3540">
              <w:t>treatment of encephalopathy</w:t>
            </w:r>
            <w:r w:rsidR="000F55B3">
              <w:t xml:space="preserve"> attributable to a dose of pertussis-containing vaccine. </w:t>
            </w:r>
            <w:r w:rsidR="00A35B48">
              <w:t xml:space="preserve"> Healthcare providers can request a consultation from CDC’s Clinical Immunization Safety Assessment Service</w:t>
            </w:r>
            <w:r w:rsidR="00A9455E">
              <w:t xml:space="preserve">: </w:t>
            </w:r>
            <w:hyperlink r:id="rId11" w:history="1">
              <w:r w:rsidR="00A15F0D">
                <w:rPr>
                  <w:rStyle w:val="Hyperlink"/>
                </w:rPr>
                <w:t>CDC: Clinical Immunization Safety Assessment (CISA) Project (www.cdc.gov/vaccinesafety/ensuringsafety/monitoring/cisa/index.html)</w:t>
              </w:r>
            </w:hyperlink>
            <w:r w:rsidR="00A95FCE">
              <w:t xml:space="preserve"> </w:t>
            </w:r>
          </w:p>
        </w:tc>
      </w:tr>
      <w:tr w:rsidR="00902145" w:rsidRPr="00902145" w14:paraId="1A515FE4" w14:textId="77777777" w:rsidTr="001E0CA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37C19138" w:rsidR="00926635" w:rsidRPr="00902145" w:rsidRDefault="00CE7311" w:rsidP="00902145">
            <w:pPr>
              <w:pStyle w:val="TableText-calibri10"/>
            </w:pPr>
            <w:r w:rsidRPr="00902145">
              <w:t>Child is less than age 6 weeks.</w:t>
            </w:r>
          </w:p>
        </w:tc>
        <w:tc>
          <w:tcPr>
            <w:tcW w:w="5399" w:type="dxa"/>
          </w:tcPr>
          <w:p w14:paraId="3AD50C9B" w14:textId="2B4BE142" w:rsidR="00926635" w:rsidRPr="00902145" w:rsidRDefault="002662F5" w:rsidP="0090214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145">
              <w:t>Do not give. [Reschedule vaccination when child meets age criteria.]</w:t>
            </w:r>
          </w:p>
        </w:tc>
      </w:tr>
      <w:tr w:rsidR="00902145" w:rsidRPr="00902145" w14:paraId="65042057" w14:textId="77777777" w:rsidTr="001E0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742A3CB9" w:rsidR="00926635" w:rsidRPr="00902145" w:rsidRDefault="00CE7311" w:rsidP="00902145">
            <w:pPr>
              <w:pStyle w:val="TableText-calibri10"/>
            </w:pPr>
            <w:r w:rsidRPr="00902145">
              <w:t>Child is 7 years or older.</w:t>
            </w:r>
          </w:p>
        </w:tc>
        <w:tc>
          <w:tcPr>
            <w:tcW w:w="5399" w:type="dxa"/>
          </w:tcPr>
          <w:p w14:paraId="103BE670" w14:textId="26CBC74B" w:rsidR="00926635" w:rsidRPr="00902145" w:rsidRDefault="00CE7311" w:rsidP="0090214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145">
              <w:t>Follow protocol for Td/Tdap administration</w:t>
            </w:r>
            <w:r w:rsidR="00D55E62">
              <w:t xml:space="preserve"> for </w:t>
            </w:r>
            <w:r w:rsidR="00D55E62" w:rsidRPr="00A15F0D">
              <w:rPr>
                <w:u w:val="single"/>
              </w:rPr>
              <w:t>&gt;</w:t>
            </w:r>
            <w:r w:rsidR="00D55E62">
              <w:t xml:space="preserve">7 years old. </w:t>
            </w:r>
          </w:p>
        </w:tc>
      </w:tr>
      <w:tr w:rsidR="00902145" w:rsidRPr="00902145" w14:paraId="1418D6AA" w14:textId="77777777" w:rsidTr="001E0CA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3EEE806" w14:textId="116468DC" w:rsidR="002662F5" w:rsidRPr="00902145" w:rsidRDefault="00CE7311" w:rsidP="00902145">
            <w:pPr>
              <w:pStyle w:val="TableText-calibri10"/>
            </w:pPr>
            <w:r w:rsidRPr="00902145">
              <w:t>Person is more than 1 month behind routine schedule.</w:t>
            </w:r>
          </w:p>
        </w:tc>
        <w:tc>
          <w:tcPr>
            <w:tcW w:w="5399" w:type="dxa"/>
          </w:tcPr>
          <w:p w14:paraId="4F47E494" w14:textId="72A93EDE" w:rsidR="002662F5" w:rsidRPr="00B960CC" w:rsidRDefault="00B960CC" w:rsidP="00B960C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0CC">
              <w:t xml:space="preserve">Follow protocol for catch-up vaccination for </w:t>
            </w:r>
            <w:r w:rsidR="004656A3">
              <w:t>Td</w:t>
            </w:r>
            <w:r w:rsidRPr="00B960CC">
              <w:t>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527" w:type="dxa"/>
        <w:tblLook w:val="04A0" w:firstRow="1" w:lastRow="0" w:firstColumn="1" w:lastColumn="0" w:noHBand="0" w:noVBand="1"/>
      </w:tblPr>
      <w:tblGrid>
        <w:gridCol w:w="5128"/>
        <w:gridCol w:w="5399"/>
      </w:tblGrid>
      <w:tr w:rsidR="00902145" w:rsidRPr="00902145" w14:paraId="03431DC1" w14:textId="77777777" w:rsidTr="001E0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902145" w:rsidRDefault="0015567C" w:rsidP="00902145">
            <w:pPr>
              <w:pStyle w:val="TableText-calibri10"/>
            </w:pPr>
            <w:r w:rsidRPr="00902145">
              <w:t>Criteria</w:t>
            </w:r>
          </w:p>
        </w:tc>
        <w:tc>
          <w:tcPr>
            <w:tcW w:w="5399" w:type="dxa"/>
          </w:tcPr>
          <w:p w14:paraId="4692A7FB" w14:textId="77777777" w:rsidR="0015567C" w:rsidRPr="00902145" w:rsidRDefault="0015567C" w:rsidP="0090214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2145">
              <w:t>Prescribed action</w:t>
            </w:r>
          </w:p>
        </w:tc>
      </w:tr>
      <w:tr w:rsidR="00902145" w:rsidRPr="00902145" w14:paraId="7005D129" w14:textId="77777777" w:rsidTr="001E0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0364B3CE" w:rsidR="00185403" w:rsidRPr="00902145" w:rsidRDefault="00902145" w:rsidP="00902145">
            <w:pPr>
              <w:pStyle w:val="TableText-calibri10"/>
            </w:pPr>
            <w:r w:rsidRPr="00902145">
              <w:t xml:space="preserve">Person had a systemic allergic reaction (anaphylaxis) to a previous dose of </w:t>
            </w:r>
            <w:r w:rsidR="003E4528">
              <w:t>DT</w:t>
            </w:r>
            <w:r w:rsidR="004D3646">
              <w:t>aP</w:t>
            </w:r>
            <w:r w:rsidR="003E4528">
              <w:t>/</w:t>
            </w:r>
            <w:r w:rsidR="004D3646">
              <w:t>DT</w:t>
            </w:r>
            <w:r w:rsidR="00BB1BC7">
              <w:t>/Td</w:t>
            </w:r>
            <w:r w:rsidR="008A780F">
              <w:t xml:space="preserve"> </w:t>
            </w:r>
            <w:r w:rsidRPr="00902145">
              <w:t>vaccine.</w:t>
            </w:r>
          </w:p>
        </w:tc>
        <w:tc>
          <w:tcPr>
            <w:tcW w:w="5399" w:type="dxa"/>
          </w:tcPr>
          <w:p w14:paraId="68751DD1" w14:textId="27BD2683" w:rsidR="00185403" w:rsidRPr="00902145" w:rsidRDefault="002662F5" w:rsidP="0090214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145">
              <w:t>Do not vaccinate; _____________________</w:t>
            </w:r>
          </w:p>
        </w:tc>
      </w:tr>
      <w:tr w:rsidR="00902145" w:rsidRPr="00902145" w14:paraId="0B0C8027" w14:textId="77777777" w:rsidTr="001E0C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4952895A" w:rsidR="00185403" w:rsidRPr="00902145" w:rsidRDefault="00902145" w:rsidP="00902145">
            <w:pPr>
              <w:pStyle w:val="TableText-calibri10"/>
            </w:pPr>
            <w:r w:rsidRPr="00902145">
              <w:t xml:space="preserve">Person has a systemic allergy to a component of </w:t>
            </w:r>
            <w:r w:rsidR="003E4528">
              <w:t>DT</w:t>
            </w:r>
            <w:r w:rsidR="004D3646">
              <w:t>aP</w:t>
            </w:r>
            <w:r w:rsidR="003E4528">
              <w:t>/</w:t>
            </w:r>
            <w:r w:rsidR="004D3646">
              <w:t>DT</w:t>
            </w:r>
            <w:r w:rsidR="00BB1BC7">
              <w:t>/Td</w:t>
            </w:r>
            <w:r w:rsidRPr="00902145">
              <w:t xml:space="preserve"> vaccine.</w:t>
            </w:r>
          </w:p>
        </w:tc>
        <w:tc>
          <w:tcPr>
            <w:tcW w:w="5399" w:type="dxa"/>
          </w:tcPr>
          <w:p w14:paraId="753EF366" w14:textId="27BE8AFB" w:rsidR="00185403" w:rsidRPr="00902145" w:rsidRDefault="002662F5" w:rsidP="0090214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145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lastRenderedPageBreak/>
        <w:t>Precautions</w:t>
      </w:r>
    </w:p>
    <w:tbl>
      <w:tblPr>
        <w:tblStyle w:val="MDHstyle"/>
        <w:tblW w:w="10527" w:type="dxa"/>
        <w:tblLook w:val="04A0" w:firstRow="1" w:lastRow="0" w:firstColumn="1" w:lastColumn="0" w:noHBand="0" w:noVBand="1"/>
      </w:tblPr>
      <w:tblGrid>
        <w:gridCol w:w="5128"/>
        <w:gridCol w:w="5399"/>
      </w:tblGrid>
      <w:tr w:rsidR="00902145" w:rsidRPr="00902145" w14:paraId="7BD181FC" w14:textId="77777777" w:rsidTr="001E0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902145" w:rsidRDefault="0015567C" w:rsidP="00902145">
            <w:pPr>
              <w:pStyle w:val="TableText-calibri10"/>
            </w:pPr>
            <w:r w:rsidRPr="00902145">
              <w:t>Criteria</w:t>
            </w:r>
          </w:p>
        </w:tc>
        <w:tc>
          <w:tcPr>
            <w:tcW w:w="5399" w:type="dxa"/>
          </w:tcPr>
          <w:p w14:paraId="176E4172" w14:textId="77777777" w:rsidR="0015567C" w:rsidRPr="00902145" w:rsidRDefault="0015567C" w:rsidP="0090214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2145">
              <w:t>Prescribed action</w:t>
            </w:r>
          </w:p>
        </w:tc>
      </w:tr>
      <w:tr w:rsidR="00902145" w:rsidRPr="00902145" w14:paraId="5896B4F6" w14:textId="77777777" w:rsidTr="001E0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83436DE" w:rsidR="00926635" w:rsidRPr="00902145" w:rsidRDefault="002662F5" w:rsidP="00902145">
            <w:pPr>
              <w:pStyle w:val="TableText-calibri10"/>
            </w:pPr>
            <w:r w:rsidRPr="00902145">
              <w:t>Person is currently on antibiotic therapy.</w:t>
            </w:r>
          </w:p>
        </w:tc>
        <w:tc>
          <w:tcPr>
            <w:tcW w:w="5399" w:type="dxa"/>
          </w:tcPr>
          <w:p w14:paraId="27B7FDF7" w14:textId="14D6C37C" w:rsidR="00926635" w:rsidRPr="00902145" w:rsidRDefault="002662F5" w:rsidP="0090214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145">
              <w:t>Proceed to vaccinate.</w:t>
            </w:r>
          </w:p>
        </w:tc>
      </w:tr>
      <w:tr w:rsidR="00902145" w:rsidRPr="00902145" w14:paraId="0DDCB27F" w14:textId="77777777" w:rsidTr="001E0CA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32265C28" w:rsidR="06C91713" w:rsidRPr="00902145" w:rsidRDefault="002662F5" w:rsidP="00902145">
            <w:pPr>
              <w:pStyle w:val="TableText-calibri10"/>
            </w:pPr>
            <w:r w:rsidRPr="00902145">
              <w:t>Person has a mild illness defined as temperature less than ____°F/°C with symptoms such as: {to be determined by medical prescriber}</w:t>
            </w:r>
          </w:p>
        </w:tc>
        <w:tc>
          <w:tcPr>
            <w:tcW w:w="5399" w:type="dxa"/>
          </w:tcPr>
          <w:p w14:paraId="6FBAFC44" w14:textId="68840DA3" w:rsidR="06C91713" w:rsidRPr="00902145" w:rsidRDefault="002662F5" w:rsidP="0090214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145">
              <w:t>Proceed to vaccinate.</w:t>
            </w:r>
          </w:p>
        </w:tc>
      </w:tr>
      <w:tr w:rsidR="00902145" w:rsidRPr="00902145" w14:paraId="26A945B5" w14:textId="77777777" w:rsidTr="001E0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CB0B3E" w14:textId="4A45A299" w:rsidR="002662F5" w:rsidRPr="00902145" w:rsidRDefault="002662F5" w:rsidP="00902145">
            <w:pPr>
              <w:pStyle w:val="TableText-calibri10"/>
            </w:pPr>
            <w:r w:rsidRPr="00902145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399" w:type="dxa"/>
          </w:tcPr>
          <w:p w14:paraId="0E7B2E3B" w14:textId="4FA7AACF" w:rsidR="002662F5" w:rsidRPr="00902145" w:rsidRDefault="002662F5" w:rsidP="0090214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145">
              <w:t>Defer vaccination and {to be determined by medical prescriber}</w:t>
            </w:r>
          </w:p>
        </w:tc>
      </w:tr>
      <w:tr w:rsidR="00902145" w:rsidRPr="00902145" w14:paraId="0A113BC5" w14:textId="77777777" w:rsidTr="001E0CA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4491A9B" w14:textId="0EFC31E4" w:rsidR="002662F5" w:rsidRPr="00902145" w:rsidRDefault="00902145" w:rsidP="00902145">
            <w:pPr>
              <w:pStyle w:val="TableText-calibri10"/>
            </w:pPr>
            <w:r w:rsidRPr="00902145">
              <w:t>Person experienced an arthus-type hypersensitivity reaction to a previous dose of DT</w:t>
            </w:r>
            <w:r w:rsidR="004F01BB">
              <w:t>aP</w:t>
            </w:r>
            <w:r w:rsidR="00BE52D0">
              <w:t>/</w:t>
            </w:r>
            <w:r w:rsidR="004F01BB">
              <w:t>DT</w:t>
            </w:r>
            <w:r w:rsidR="00BB1BC7">
              <w:t>/Td</w:t>
            </w:r>
            <w:r w:rsidRPr="00902145">
              <w:t>.</w:t>
            </w:r>
          </w:p>
        </w:tc>
        <w:tc>
          <w:tcPr>
            <w:tcW w:w="5399" w:type="dxa"/>
          </w:tcPr>
          <w:p w14:paraId="038E6DA6" w14:textId="7DEA901F" w:rsidR="002662F5" w:rsidRPr="00902145" w:rsidRDefault="00902145" w:rsidP="0090214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145">
              <w:t xml:space="preserve">[Do not give additional tetanus </w:t>
            </w:r>
            <w:r w:rsidR="0060342E">
              <w:t>and</w:t>
            </w:r>
            <w:r w:rsidRPr="00902145">
              <w:t xml:space="preserve"> diphtheria-containing vaccine for a minimum of 10 years from the last dose.]</w:t>
            </w:r>
          </w:p>
        </w:tc>
      </w:tr>
    </w:tbl>
    <w:p w14:paraId="52EB7641" w14:textId="77777777" w:rsidR="0015567C" w:rsidRDefault="0015567C" w:rsidP="00A15F0D">
      <w:pPr>
        <w:pStyle w:val="Heading2"/>
      </w:pPr>
      <w:r>
        <w:t>Prescription</w:t>
      </w:r>
    </w:p>
    <w:p w14:paraId="1ECAD4AB" w14:textId="4A40CEEE" w:rsidR="00AA1D0A" w:rsidRDefault="007D63E2" w:rsidP="00A15F0D">
      <w:pPr>
        <w:pStyle w:val="Heading3"/>
      </w:pPr>
      <w:r>
        <w:t xml:space="preserve">Routine </w:t>
      </w:r>
      <w:r w:rsidR="000137DB">
        <w:t>v</w:t>
      </w:r>
      <w:r>
        <w:t>accination</w:t>
      </w:r>
    </w:p>
    <w:p w14:paraId="6FDE7C48" w14:textId="7E6C1F47" w:rsidR="0002120A" w:rsidRPr="00B960CC" w:rsidRDefault="00B960CC" w:rsidP="00B960CC">
      <w:r w:rsidRPr="00B960CC">
        <w:t xml:space="preserve">Give </w:t>
      </w:r>
      <w:r w:rsidR="006339DB">
        <w:t xml:space="preserve">Td </w:t>
      </w:r>
      <w:r w:rsidRPr="00B960CC">
        <w:t>0.5 ml, IM at ages 2 months, 4 months, 6 months, 15-18 months* and 4-6 years.</w:t>
      </w:r>
      <w:r w:rsidR="0002120A">
        <w:t xml:space="preserve"> </w:t>
      </w:r>
    </w:p>
    <w:p w14:paraId="5A5CB9DA" w14:textId="14F8E1FA" w:rsidR="00B960CC" w:rsidRDefault="00B960CC" w:rsidP="008D7F8A">
      <w:pPr>
        <w:pStyle w:val="NormalSmall"/>
      </w:pPr>
      <w:r w:rsidRPr="00B960CC">
        <w:t xml:space="preserve">*A child may receive his/her fourth dose of </w:t>
      </w:r>
      <w:r w:rsidR="00C75D3F">
        <w:t>Td</w:t>
      </w:r>
      <w:r w:rsidRPr="00B960CC">
        <w:t xml:space="preserve"> as early as age 12 months, as long as it will be at least 6 months between doses three and four and the assessor has a concern that the child will not return at 15 months of age.</w:t>
      </w:r>
    </w:p>
    <w:p w14:paraId="27561A6E" w14:textId="3B8AEC07" w:rsidR="00407D25" w:rsidRDefault="00407D25" w:rsidP="00407D25">
      <w:pPr>
        <w:pStyle w:val="Heading3"/>
      </w:pPr>
      <w:r>
        <w:t>Catch-</w:t>
      </w:r>
      <w:r w:rsidR="000137DB">
        <w:t>u</w:t>
      </w:r>
      <w:r>
        <w:t xml:space="preserve">p </w:t>
      </w:r>
      <w:r w:rsidR="000137DB">
        <w:t>s</w:t>
      </w:r>
      <w:r>
        <w:t>chedule</w:t>
      </w:r>
    </w:p>
    <w:p w14:paraId="769068E6" w14:textId="77777777" w:rsidR="00F45DDF" w:rsidRPr="00A15F0D" w:rsidRDefault="00F45DDF" w:rsidP="008D7F8A">
      <w:pPr>
        <w:suppressAutoHyphens w:val="0"/>
        <w:spacing w:after="120"/>
        <w:rPr>
          <w:rFonts w:asciiTheme="majorHAnsi" w:eastAsia="Times New Roman" w:hAnsiTheme="majorHAnsi" w:cstheme="majorHAnsi"/>
          <w:szCs w:val="24"/>
        </w:rPr>
      </w:pPr>
      <w:r w:rsidRPr="008D7F8A">
        <w:rPr>
          <w:rFonts w:asciiTheme="majorHAnsi" w:eastAsia="Times New Roman" w:hAnsiTheme="majorHAnsi" w:cstheme="majorHAnsi"/>
          <w:b/>
          <w:bCs/>
          <w:szCs w:val="24"/>
        </w:rPr>
        <w:t xml:space="preserve">Minimum interval </w:t>
      </w:r>
      <w:r w:rsidRPr="008D7F8A">
        <w:rPr>
          <w:b/>
          <w:bCs/>
        </w:rPr>
        <w:t>between</w:t>
      </w:r>
      <w:r w:rsidRPr="008D7F8A">
        <w:rPr>
          <w:rFonts w:asciiTheme="majorHAnsi" w:eastAsia="Times New Roman" w:hAnsiTheme="majorHAnsi" w:cstheme="majorHAnsi"/>
          <w:b/>
          <w:bCs/>
          <w:szCs w:val="24"/>
        </w:rPr>
        <w:t xml:space="preserve"> doses</w:t>
      </w:r>
      <w:r w:rsidRPr="00A15F0D">
        <w:rPr>
          <w:rFonts w:asciiTheme="majorHAnsi" w:eastAsia="Times New Roman" w:hAnsiTheme="majorHAnsi" w:cstheme="majorHAnsi"/>
          <w:szCs w:val="24"/>
        </w:rPr>
        <w:t>:</w:t>
      </w:r>
    </w:p>
    <w:p w14:paraId="2045C1BF" w14:textId="2CAB6C87" w:rsidR="00F45DDF" w:rsidRPr="00A15F0D" w:rsidRDefault="00F45DDF" w:rsidP="000137DB">
      <w:pPr>
        <w:pStyle w:val="ListBullet"/>
      </w:pPr>
      <w:r w:rsidRPr="00A15F0D">
        <w:t xml:space="preserve">Dose </w:t>
      </w:r>
      <w:r w:rsidR="00A33D9E">
        <w:t>one</w:t>
      </w:r>
      <w:r w:rsidRPr="00A15F0D">
        <w:t xml:space="preserve"> to dose </w:t>
      </w:r>
      <w:r w:rsidR="00A33D9E">
        <w:t>two</w:t>
      </w:r>
      <w:r w:rsidRPr="00A15F0D">
        <w:t>: 4 weeks</w:t>
      </w:r>
    </w:p>
    <w:p w14:paraId="2F2689F0" w14:textId="1CCBD3EE" w:rsidR="00F45DDF" w:rsidRPr="00A15F0D" w:rsidRDefault="00F45DDF" w:rsidP="000137DB">
      <w:pPr>
        <w:pStyle w:val="ListBullet"/>
      </w:pPr>
      <w:r w:rsidRPr="00A15F0D">
        <w:t xml:space="preserve">Dose </w:t>
      </w:r>
      <w:r w:rsidR="00A33D9E">
        <w:t>two</w:t>
      </w:r>
      <w:r w:rsidRPr="00A15F0D">
        <w:t xml:space="preserve"> to dose </w:t>
      </w:r>
      <w:r w:rsidR="00A33D9E">
        <w:t>three</w:t>
      </w:r>
      <w:r w:rsidRPr="00A15F0D">
        <w:t>: 4 weeks</w:t>
      </w:r>
    </w:p>
    <w:p w14:paraId="748695F3" w14:textId="727BFBD0" w:rsidR="00F45DDF" w:rsidRPr="00A15F0D" w:rsidRDefault="00F45DDF" w:rsidP="000137DB">
      <w:pPr>
        <w:pStyle w:val="ListBullet"/>
      </w:pPr>
      <w:r w:rsidRPr="00A15F0D">
        <w:t xml:space="preserve">Dose </w:t>
      </w:r>
      <w:r w:rsidR="00A33D9E">
        <w:t>three</w:t>
      </w:r>
      <w:r w:rsidRPr="00A15F0D">
        <w:t xml:space="preserve"> to dose </w:t>
      </w:r>
      <w:r w:rsidR="00A33D9E">
        <w:t>four</w:t>
      </w:r>
      <w:r w:rsidRPr="00A15F0D">
        <w:t>: 6 months</w:t>
      </w:r>
    </w:p>
    <w:p w14:paraId="6A337C58" w14:textId="023196DD" w:rsidR="00F45DDF" w:rsidRPr="00A15F0D" w:rsidRDefault="00F45DDF" w:rsidP="000137DB">
      <w:pPr>
        <w:pStyle w:val="ListBullet"/>
      </w:pPr>
      <w:r w:rsidRPr="00A15F0D">
        <w:t xml:space="preserve">Dose </w:t>
      </w:r>
      <w:r w:rsidR="00A33D9E">
        <w:t>four</w:t>
      </w:r>
      <w:r w:rsidRPr="00A15F0D">
        <w:t xml:space="preserve"> to dose </w:t>
      </w:r>
      <w:r w:rsidR="00A33D9E">
        <w:t>five</w:t>
      </w:r>
      <w:r w:rsidRPr="00A15F0D">
        <w:t>: 6 months</w:t>
      </w:r>
    </w:p>
    <w:p w14:paraId="518BC82D" w14:textId="7C91FD71" w:rsidR="00407D25" w:rsidRPr="00407D25" w:rsidRDefault="00F45DDF" w:rsidP="000137DB">
      <w:pPr>
        <w:pStyle w:val="ListBullet"/>
      </w:pPr>
      <w:r w:rsidRPr="00A15F0D">
        <w:t xml:space="preserve">Dose </w:t>
      </w:r>
      <w:r w:rsidR="00A33D9E">
        <w:t>five</w:t>
      </w:r>
      <w:r w:rsidRPr="00A15F0D">
        <w:t xml:space="preserve"> is not necessary if dose </w:t>
      </w:r>
      <w:r w:rsidR="00A33D9E">
        <w:t>four</w:t>
      </w:r>
      <w:r w:rsidRPr="00A15F0D">
        <w:t xml:space="preserve"> was administered at age 4 years or older and at least 6 months after dose </w:t>
      </w:r>
      <w:r w:rsidR="00A33D9E">
        <w:t>three</w:t>
      </w:r>
      <w:r w:rsidRPr="00A15F0D">
        <w:t>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EC2D40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864" w:bottom="432" w:left="864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1C9B" w14:textId="77777777" w:rsidR="00B11C63" w:rsidRDefault="00B11C63" w:rsidP="00D36495">
      <w:r>
        <w:separator/>
      </w:r>
    </w:p>
  </w:endnote>
  <w:endnote w:type="continuationSeparator" w:id="0">
    <w:p w14:paraId="62A0FD78" w14:textId="77777777" w:rsidR="00B11C63" w:rsidRDefault="00B11C63" w:rsidP="00D36495">
      <w:r>
        <w:continuationSeparator/>
      </w:r>
    </w:p>
  </w:endnote>
  <w:endnote w:type="continuationNotice" w:id="1">
    <w:p w14:paraId="1A743397" w14:textId="77777777" w:rsidR="00B11C63" w:rsidRDefault="00B11C6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A5514D">
        <w:pPr>
          <w:pStyle w:val="Header"/>
          <w:spacing w:before="120" w:after="12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EA43" w14:textId="77777777" w:rsidR="00B11C63" w:rsidRDefault="00B11C63" w:rsidP="00D36495">
      <w:r>
        <w:separator/>
      </w:r>
    </w:p>
  </w:footnote>
  <w:footnote w:type="continuationSeparator" w:id="0">
    <w:p w14:paraId="7FC1C5EE" w14:textId="77777777" w:rsidR="00B11C63" w:rsidRDefault="00B11C63" w:rsidP="00D36495">
      <w:r>
        <w:continuationSeparator/>
      </w:r>
    </w:p>
  </w:footnote>
  <w:footnote w:type="continuationNotice" w:id="1">
    <w:p w14:paraId="0F3CE825" w14:textId="77777777" w:rsidR="00B11C63" w:rsidRDefault="00B11C6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17F4E0F8" w:rsidR="00782710" w:rsidRPr="005F3404" w:rsidRDefault="00B93F3C" w:rsidP="00B93F3C">
    <w:pPr>
      <w:pStyle w:val="Header"/>
    </w:pPr>
    <w:r w:rsidRPr="002662F5">
      <w:t xml:space="preserve">Tetanus </w:t>
    </w:r>
    <w:r w:rsidR="00930DD3">
      <w:t>and</w:t>
    </w:r>
    <w:r w:rsidR="00930DD3" w:rsidRPr="002662F5">
      <w:t xml:space="preserve"> Diphtheria</w:t>
    </w:r>
    <w:r w:rsidR="00930DD3">
      <w:t xml:space="preserve"> </w:t>
    </w:r>
    <w:r w:rsidR="00CE7311">
      <w:t>(</w:t>
    </w:r>
    <w:r w:rsidR="002A380A">
      <w:t>TD</w:t>
    </w:r>
    <w:r w:rsidR="00CE7311">
      <w:t xml:space="preserve">) </w:t>
    </w:r>
    <w:r w:rsidRPr="002662F5"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92098C"/>
    <w:multiLevelType w:val="multilevel"/>
    <w:tmpl w:val="0562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F8179A7"/>
    <w:multiLevelType w:val="multilevel"/>
    <w:tmpl w:val="984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94900250">
    <w:abstractNumId w:val="13"/>
  </w:num>
  <w:num w:numId="2" w16cid:durableId="792675278">
    <w:abstractNumId w:val="1"/>
  </w:num>
  <w:num w:numId="3" w16cid:durableId="612979723">
    <w:abstractNumId w:val="0"/>
  </w:num>
  <w:num w:numId="4" w16cid:durableId="2106532372">
    <w:abstractNumId w:val="10"/>
  </w:num>
  <w:num w:numId="5" w16cid:durableId="345526599">
    <w:abstractNumId w:val="15"/>
  </w:num>
  <w:num w:numId="6" w16cid:durableId="1945305093">
    <w:abstractNumId w:val="3"/>
  </w:num>
  <w:num w:numId="7" w16cid:durableId="1369800085">
    <w:abstractNumId w:val="2"/>
  </w:num>
  <w:num w:numId="8" w16cid:durableId="1284845562">
    <w:abstractNumId w:val="7"/>
  </w:num>
  <w:num w:numId="9" w16cid:durableId="1654522569">
    <w:abstractNumId w:val="5"/>
  </w:num>
  <w:num w:numId="10" w16cid:durableId="284427992">
    <w:abstractNumId w:val="14"/>
  </w:num>
  <w:num w:numId="11" w16cid:durableId="1553346808">
    <w:abstractNumId w:val="12"/>
  </w:num>
  <w:num w:numId="12" w16cid:durableId="712076617">
    <w:abstractNumId w:val="6"/>
  </w:num>
  <w:num w:numId="13" w16cid:durableId="1203902335">
    <w:abstractNumId w:val="8"/>
  </w:num>
  <w:num w:numId="14" w16cid:durableId="1936283298">
    <w:abstractNumId w:val="4"/>
  </w:num>
  <w:num w:numId="15" w16cid:durableId="194122592">
    <w:abstractNumId w:val="9"/>
  </w:num>
  <w:num w:numId="16" w16cid:durableId="2032872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7DB"/>
    <w:rsid w:val="00013DF1"/>
    <w:rsid w:val="00015C84"/>
    <w:rsid w:val="00017AF7"/>
    <w:rsid w:val="00017D52"/>
    <w:rsid w:val="0002112F"/>
    <w:rsid w:val="0002120A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3FEF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46A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0E13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55B3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4FDB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2D9B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87D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0CAF"/>
    <w:rsid w:val="001E10E0"/>
    <w:rsid w:val="001E134F"/>
    <w:rsid w:val="001E149D"/>
    <w:rsid w:val="001E14C6"/>
    <w:rsid w:val="001E1DC9"/>
    <w:rsid w:val="001E22F0"/>
    <w:rsid w:val="001E2408"/>
    <w:rsid w:val="001E2E0F"/>
    <w:rsid w:val="001E3173"/>
    <w:rsid w:val="001E3E80"/>
    <w:rsid w:val="001E3F2F"/>
    <w:rsid w:val="001E40FC"/>
    <w:rsid w:val="001E46EA"/>
    <w:rsid w:val="001E479E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39F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142"/>
    <w:rsid w:val="002662F5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80A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C39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E55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35C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9EC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528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07D25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3A4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6EC4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6A3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5EB8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03D9"/>
    <w:rsid w:val="00490C72"/>
    <w:rsid w:val="004915CF"/>
    <w:rsid w:val="0049222A"/>
    <w:rsid w:val="0049341C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3646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280"/>
    <w:rsid w:val="004E499D"/>
    <w:rsid w:val="004E4CAE"/>
    <w:rsid w:val="004E4DCE"/>
    <w:rsid w:val="004E5336"/>
    <w:rsid w:val="004F01BB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342E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38C8"/>
    <w:rsid w:val="006339DB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94E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5E0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8D7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944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857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07EB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63E2"/>
    <w:rsid w:val="007D6AA1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6CB2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4DE6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0667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5FC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125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A780F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F8A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3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145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0DD3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92C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85B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3A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641"/>
    <w:rsid w:val="009C67C1"/>
    <w:rsid w:val="009C6884"/>
    <w:rsid w:val="009C790B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6FF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0B5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0D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546"/>
    <w:rsid w:val="00A32A11"/>
    <w:rsid w:val="00A33A00"/>
    <w:rsid w:val="00A33D9E"/>
    <w:rsid w:val="00A3465B"/>
    <w:rsid w:val="00A359CD"/>
    <w:rsid w:val="00A35B48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5CF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14D"/>
    <w:rsid w:val="00A55500"/>
    <w:rsid w:val="00A55E56"/>
    <w:rsid w:val="00A56A9A"/>
    <w:rsid w:val="00A56BE6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55E"/>
    <w:rsid w:val="00A94620"/>
    <w:rsid w:val="00A9540F"/>
    <w:rsid w:val="00A95FCE"/>
    <w:rsid w:val="00A9687D"/>
    <w:rsid w:val="00A979F5"/>
    <w:rsid w:val="00A97D55"/>
    <w:rsid w:val="00AA00BE"/>
    <w:rsid w:val="00AA09BD"/>
    <w:rsid w:val="00AA09BF"/>
    <w:rsid w:val="00AA11B6"/>
    <w:rsid w:val="00AA1D0A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2969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CEF"/>
    <w:rsid w:val="00AC2D4B"/>
    <w:rsid w:val="00AC2DC7"/>
    <w:rsid w:val="00AC2F7C"/>
    <w:rsid w:val="00AC3540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09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C63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3F3C"/>
    <w:rsid w:val="00B940F3"/>
    <w:rsid w:val="00B94C9F"/>
    <w:rsid w:val="00B950E0"/>
    <w:rsid w:val="00B956F3"/>
    <w:rsid w:val="00B95FAA"/>
    <w:rsid w:val="00B960C0"/>
    <w:rsid w:val="00B960CC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1BC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30A"/>
    <w:rsid w:val="00BE5001"/>
    <w:rsid w:val="00BE5117"/>
    <w:rsid w:val="00BE52D0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C44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67C14"/>
    <w:rsid w:val="00C703D8"/>
    <w:rsid w:val="00C7097F"/>
    <w:rsid w:val="00C709B6"/>
    <w:rsid w:val="00C72533"/>
    <w:rsid w:val="00C72B42"/>
    <w:rsid w:val="00C73773"/>
    <w:rsid w:val="00C73CA8"/>
    <w:rsid w:val="00C7406E"/>
    <w:rsid w:val="00C7414A"/>
    <w:rsid w:val="00C74615"/>
    <w:rsid w:val="00C74A0E"/>
    <w:rsid w:val="00C75D3F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311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275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E62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284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1BC"/>
    <w:rsid w:val="00DE045B"/>
    <w:rsid w:val="00DE0828"/>
    <w:rsid w:val="00DE0D51"/>
    <w:rsid w:val="00DE1D23"/>
    <w:rsid w:val="00DE29D9"/>
    <w:rsid w:val="00DE2AEC"/>
    <w:rsid w:val="00DE2F32"/>
    <w:rsid w:val="00DE337C"/>
    <w:rsid w:val="00DE35DE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49F0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D84"/>
    <w:rsid w:val="00E31E95"/>
    <w:rsid w:val="00E322BE"/>
    <w:rsid w:val="00E332F9"/>
    <w:rsid w:val="00E335BA"/>
    <w:rsid w:val="00E34975"/>
    <w:rsid w:val="00E35C6E"/>
    <w:rsid w:val="00E35E7D"/>
    <w:rsid w:val="00E36105"/>
    <w:rsid w:val="00E3676B"/>
    <w:rsid w:val="00E369E5"/>
    <w:rsid w:val="00E36C8C"/>
    <w:rsid w:val="00E3769D"/>
    <w:rsid w:val="00E37BD9"/>
    <w:rsid w:val="00E417AF"/>
    <w:rsid w:val="00E41A85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52C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823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3EF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1B9A"/>
    <w:rsid w:val="00EC2780"/>
    <w:rsid w:val="00EC2B83"/>
    <w:rsid w:val="00EC2D40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05A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E3B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5DDF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4B2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18FF41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301EFD5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E0CAF"/>
    <w:pPr>
      <w:suppressAutoHyphens/>
      <w:spacing w:before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EC2D40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A5514D"/>
    <w:pPr>
      <w:suppressAutoHyphens/>
      <w:spacing w:before="12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137DB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C2D40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A5514D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137DB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1E0CAF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D7F8A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A5514D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pacing w:before="60"/>
      <w:ind w:left="101" w:right="101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B93F3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854DE6"/>
    <w:pPr>
      <w:spacing w:before="0" w:after="0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AA09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vaccinesafety/ensuringsafety/monitoring/cisa/index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7" ma:contentTypeDescription="Create a new document." ma:contentTypeScope="" ma:versionID="b34f92a1be3f49416898e9fcb83c9ba4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6be61297af96e6dc3ee6e8ae0beb7ad8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95469566-ff15-40dd-a806-b3ff38c3d566"/>
    <ds:schemaRef ds:uri="http://schemas.openxmlformats.org/package/2006/metadata/core-properties"/>
    <ds:schemaRef ds:uri="fff41837-5838-4dec-ad5d-0fd8d2f0516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6DE08C2-107E-4859-9D6F-6900F70B4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2</Pages>
  <Words>629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Diphtheria and Tetanus (DT) Vaccine Protocol</vt:lpstr>
    </vt:vector>
  </TitlesOfParts>
  <Company>State of Minnesota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 and Diphtheria (Td) Vaccine Protocol</dc:title>
  <dc:subject>Tetanus and Diphtheria (Td) Vaccine Protocol</dc:subject>
  <dc:creator>Minnesota Department of Health</dc:creator>
  <cp:keywords/>
  <dc:description/>
  <cp:lastModifiedBy>Schultz, Tracy (She/Her/Hers) (MDH)</cp:lastModifiedBy>
  <cp:revision>3</cp:revision>
  <cp:lastPrinted>2016-12-14T18:03:00Z</cp:lastPrinted>
  <dcterms:created xsi:type="dcterms:W3CDTF">2024-03-26T20:16:00Z</dcterms:created>
  <dcterms:modified xsi:type="dcterms:W3CDTF">2026-01-15T16:11:00Z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