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3CAB" w14:textId="4EED25A8" w:rsidR="001505A8" w:rsidRPr="001505A8" w:rsidRDefault="001505A8" w:rsidP="00431F61">
      <w:pPr>
        <w:keepNext/>
        <w:keepLines/>
        <w:suppressAutoHyphens w:val="0"/>
        <w:spacing w:after="60" w:line="192" w:lineRule="auto"/>
        <w:outlineLvl w:val="0"/>
        <w:rPr>
          <w:rFonts w:eastAsiaTheme="majorEastAsia" w:cstheme="majorBidi"/>
          <w:b/>
          <w:color w:val="003865" w:themeColor="accent1"/>
          <w:spacing w:val="-10"/>
          <w:sz w:val="48"/>
          <w:szCs w:val="48"/>
        </w:rPr>
      </w:pPr>
      <w:r w:rsidRPr="001505A8">
        <w:rPr>
          <w:rFonts w:eastAsiaTheme="majorEastAsia" w:cstheme="majorBidi"/>
          <w:b/>
          <w:color w:val="003865" w:themeColor="accent1"/>
          <w:spacing w:val="-10"/>
          <w:sz w:val="48"/>
          <w:szCs w:val="48"/>
        </w:rPr>
        <w:t xml:space="preserve">Tetanus </w:t>
      </w:r>
      <w:r w:rsidR="00A91D97">
        <w:rPr>
          <w:rFonts w:eastAsiaTheme="majorEastAsia" w:cstheme="majorBidi"/>
          <w:b/>
          <w:color w:val="003865" w:themeColor="accent1"/>
          <w:spacing w:val="-10"/>
          <w:sz w:val="48"/>
          <w:szCs w:val="48"/>
        </w:rPr>
        <w:t>and</w:t>
      </w:r>
      <w:r w:rsidRPr="001505A8">
        <w:rPr>
          <w:rFonts w:eastAsiaTheme="majorEastAsia" w:cstheme="majorBidi"/>
          <w:b/>
          <w:color w:val="003865" w:themeColor="accent1"/>
          <w:spacing w:val="-10"/>
          <w:sz w:val="48"/>
          <w:szCs w:val="48"/>
        </w:rPr>
        <w:t xml:space="preserve"> Diphtheria Toxoids and Acellular Pertussis (Tdap) </w:t>
      </w:r>
      <w:r w:rsidR="00475546">
        <w:rPr>
          <w:rFonts w:eastAsiaTheme="majorEastAsia" w:cstheme="majorBidi"/>
          <w:b/>
          <w:color w:val="003865" w:themeColor="accent1"/>
          <w:spacing w:val="-10"/>
          <w:sz w:val="48"/>
          <w:szCs w:val="48"/>
        </w:rPr>
        <w:t xml:space="preserve">and Tetanus </w:t>
      </w:r>
      <w:r w:rsidR="00BE395A">
        <w:rPr>
          <w:rFonts w:eastAsiaTheme="majorEastAsia" w:cstheme="majorBidi"/>
          <w:b/>
          <w:color w:val="003865" w:themeColor="accent1"/>
          <w:spacing w:val="-10"/>
          <w:sz w:val="48"/>
          <w:szCs w:val="48"/>
        </w:rPr>
        <w:t>and</w:t>
      </w:r>
      <w:r w:rsidR="00475546">
        <w:rPr>
          <w:rFonts w:eastAsiaTheme="majorEastAsia" w:cstheme="majorBidi"/>
          <w:b/>
          <w:color w:val="003865" w:themeColor="accent1"/>
          <w:spacing w:val="-10"/>
          <w:sz w:val="48"/>
          <w:szCs w:val="48"/>
        </w:rPr>
        <w:t xml:space="preserve"> </w:t>
      </w:r>
      <w:r w:rsidR="008C5EA5">
        <w:rPr>
          <w:rFonts w:eastAsiaTheme="majorEastAsia" w:cstheme="majorBidi"/>
          <w:b/>
          <w:color w:val="003865" w:themeColor="accent1"/>
          <w:spacing w:val="-10"/>
          <w:sz w:val="48"/>
          <w:szCs w:val="48"/>
        </w:rPr>
        <w:t>Diphtheria</w:t>
      </w:r>
      <w:r w:rsidR="00475546">
        <w:rPr>
          <w:rFonts w:eastAsiaTheme="majorEastAsia" w:cstheme="majorBidi"/>
          <w:b/>
          <w:color w:val="003865" w:themeColor="accent1"/>
          <w:spacing w:val="-10"/>
          <w:sz w:val="48"/>
          <w:szCs w:val="48"/>
        </w:rPr>
        <w:t xml:space="preserve"> (Td) </w:t>
      </w:r>
      <w:r>
        <w:rPr>
          <w:rFonts w:eastAsiaTheme="majorEastAsia" w:cstheme="majorBidi"/>
          <w:b/>
          <w:color w:val="003865" w:themeColor="accent1"/>
          <w:spacing w:val="-10"/>
          <w:sz w:val="48"/>
          <w:szCs w:val="48"/>
        </w:rPr>
        <w:t>Routine</w:t>
      </w:r>
      <w:r w:rsidR="00475546">
        <w:rPr>
          <w:rFonts w:eastAsiaTheme="majorEastAsia" w:cstheme="majorBidi"/>
          <w:b/>
          <w:color w:val="003865" w:themeColor="accent1"/>
          <w:spacing w:val="-10"/>
          <w:sz w:val="48"/>
          <w:szCs w:val="48"/>
        </w:rPr>
        <w:t>,</w:t>
      </w:r>
      <w:r>
        <w:rPr>
          <w:rFonts w:eastAsiaTheme="majorEastAsia" w:cstheme="majorBidi"/>
          <w:b/>
          <w:color w:val="003865" w:themeColor="accent1"/>
          <w:spacing w:val="-10"/>
          <w:sz w:val="48"/>
          <w:szCs w:val="48"/>
        </w:rPr>
        <w:t xml:space="preserve"> Catch-up </w:t>
      </w:r>
      <w:r w:rsidR="00B6259B">
        <w:rPr>
          <w:rFonts w:eastAsiaTheme="majorEastAsia" w:cstheme="majorBidi"/>
          <w:b/>
          <w:color w:val="003865" w:themeColor="accent1"/>
          <w:spacing w:val="-10"/>
          <w:sz w:val="48"/>
          <w:szCs w:val="48"/>
        </w:rPr>
        <w:t>and</w:t>
      </w:r>
      <w:r w:rsidR="00475546">
        <w:rPr>
          <w:rFonts w:eastAsiaTheme="majorEastAsia" w:cstheme="majorBidi"/>
          <w:b/>
          <w:color w:val="003865" w:themeColor="accent1"/>
          <w:spacing w:val="-10"/>
          <w:sz w:val="48"/>
          <w:szCs w:val="48"/>
        </w:rPr>
        <w:t xml:space="preserve"> Booster </w:t>
      </w:r>
      <w:r w:rsidR="00F579AD">
        <w:rPr>
          <w:rFonts w:eastAsiaTheme="majorEastAsia" w:cstheme="majorBidi"/>
          <w:b/>
          <w:color w:val="003865" w:themeColor="accent1"/>
          <w:spacing w:val="-10"/>
          <w:sz w:val="48"/>
          <w:szCs w:val="48"/>
        </w:rPr>
        <w:t xml:space="preserve">Dose </w:t>
      </w:r>
      <w:r w:rsidR="00A91D97">
        <w:rPr>
          <w:rFonts w:eastAsiaTheme="majorEastAsia" w:cstheme="majorBidi"/>
          <w:b/>
          <w:color w:val="003865" w:themeColor="accent1"/>
          <w:spacing w:val="-10"/>
          <w:sz w:val="48"/>
          <w:szCs w:val="48"/>
        </w:rPr>
        <w:t xml:space="preserve">Vaccine </w:t>
      </w:r>
      <w:r w:rsidRPr="001505A8">
        <w:rPr>
          <w:rFonts w:eastAsiaTheme="majorEastAsia" w:cstheme="majorBidi"/>
          <w:b/>
          <w:color w:val="003865" w:themeColor="accent1"/>
          <w:spacing w:val="-10"/>
          <w:sz w:val="48"/>
          <w:szCs w:val="48"/>
        </w:rPr>
        <w:t>Protocol</w:t>
      </w:r>
      <w:r w:rsidR="00B63A10">
        <w:rPr>
          <w:rFonts w:eastAsiaTheme="majorEastAsia" w:cstheme="majorBidi"/>
          <w:b/>
          <w:color w:val="003865" w:themeColor="accent1"/>
          <w:spacing w:val="-10"/>
          <w:sz w:val="48"/>
          <w:szCs w:val="48"/>
        </w:rPr>
        <w:t xml:space="preserve"> </w:t>
      </w:r>
    </w:p>
    <w:p w14:paraId="2E9D469B" w14:textId="6DA90767" w:rsidR="00926635" w:rsidRPr="004B3115" w:rsidRDefault="000B3E7D" w:rsidP="00926635">
      <w:pPr>
        <w:pStyle w:val="Subtitle"/>
        <w:rPr>
          <w:color w:val="C00000"/>
        </w:rPr>
      </w:pPr>
      <w:r>
        <w:t>vaccine protocol</w:t>
      </w:r>
      <w:r w:rsidR="00185403">
        <w:t xml:space="preserve"> for </w:t>
      </w:r>
      <w:r w:rsidR="00926635" w:rsidRPr="00926635">
        <w:t xml:space="preserve">Persons Age </w:t>
      </w:r>
      <w:r w:rsidR="001047EF">
        <w:t>7 years and older</w:t>
      </w:r>
    </w:p>
    <w:p w14:paraId="4BAE6FFB" w14:textId="088DEEC9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BE395A">
        <w:rPr>
          <w:b/>
          <w:bCs/>
          <w:color w:val="C00000"/>
        </w:rPr>
        <w:t>June 6, 2023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421BFFCE" w14:textId="480E4BF1" w:rsidR="000B3E7D" w:rsidRPr="009E6009" w:rsidRDefault="000B3E7D" w:rsidP="009E6009">
      <w:r w:rsidRPr="009E6009">
        <w:t xml:space="preserve">To reduce incidence of morbidity and mortality </w:t>
      </w:r>
      <w:r w:rsidR="009E6009" w:rsidRPr="00421EB1">
        <w:t xml:space="preserve">of tetanus, </w:t>
      </w:r>
      <w:r w:rsidR="008772AF" w:rsidRPr="00421EB1">
        <w:t>diphtheria,</w:t>
      </w:r>
      <w:r w:rsidR="009E6009" w:rsidRPr="00421EB1">
        <w:t xml:space="preserve"> and pertussis</w:t>
      </w:r>
      <w:r w:rsidR="009E6009">
        <w:t xml:space="preserve"> </w:t>
      </w:r>
      <w:r w:rsidRPr="009E6009">
        <w:t>disease</w:t>
      </w:r>
      <w:r w:rsidR="00926635" w:rsidRPr="009E6009">
        <w:t>.</w:t>
      </w:r>
    </w:p>
    <w:p w14:paraId="473158AD" w14:textId="77777777" w:rsidR="000B3E7D" w:rsidRDefault="000B3E7D" w:rsidP="000B3E7D">
      <w:pPr>
        <w:pStyle w:val="Heading2"/>
      </w:pPr>
      <w:r>
        <w:t>Policy of protocol</w:t>
      </w:r>
    </w:p>
    <w:p w14:paraId="4B23D2B1" w14:textId="3ECC6349" w:rsidR="000B3E7D" w:rsidRDefault="000B3E7D" w:rsidP="006D4D5C">
      <w:r>
        <w:t xml:space="preserve">The nurse will implement this protocol for </w:t>
      </w:r>
      <w:r w:rsidR="009E6009" w:rsidRPr="00F87A31">
        <w:t xml:space="preserve">tetanus, </w:t>
      </w:r>
      <w:r w:rsidR="008772AF" w:rsidRPr="00F87A31">
        <w:t>diphtheria,</w:t>
      </w:r>
      <w:r w:rsidR="009E6009" w:rsidRPr="00F87A31">
        <w:t xml:space="preserve"> </w:t>
      </w:r>
      <w:r w:rsidR="00076E89">
        <w:t xml:space="preserve">with or without </w:t>
      </w:r>
      <w:r w:rsidR="009E6009" w:rsidRPr="00F87A31">
        <w:t>pertussis</w:t>
      </w:r>
      <w:r w:rsidR="009E6009">
        <w:t xml:space="preserve"> </w:t>
      </w:r>
      <w:r w:rsidR="00926635">
        <w:t>vaccination</w:t>
      </w:r>
      <w:r w:rsidR="0071546B">
        <w:t>.</w:t>
      </w:r>
    </w:p>
    <w:p w14:paraId="0F5EC98F" w14:textId="6E8F4724" w:rsidR="00E633FF" w:rsidRDefault="00E633FF" w:rsidP="006D4D5C">
      <w:bookmarkStart w:id="0" w:name="_Hlk216418560"/>
      <w:r w:rsidRPr="00E633FF">
        <w:t>The indications for vaccination are based on recommendations from the American Academy of Pediatrics (AAP) and the American Academy of Family Physicians (AAFP).</w:t>
      </w:r>
      <w:bookmarkEnd w:id="0"/>
    </w:p>
    <w:p w14:paraId="3856B515" w14:textId="77777777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421EB1" w14:paraId="2B9A7AB7" w14:textId="77777777" w:rsidTr="00431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9E6009" w:rsidRDefault="0015567C" w:rsidP="009E6009">
            <w:pPr>
              <w:pStyle w:val="TableText-calibri10"/>
            </w:pPr>
            <w:r w:rsidRPr="009E6009">
              <w:t>Criteria</w:t>
            </w:r>
          </w:p>
        </w:tc>
        <w:tc>
          <w:tcPr>
            <w:tcW w:w="5129" w:type="dxa"/>
          </w:tcPr>
          <w:p w14:paraId="7BC765D4" w14:textId="77777777" w:rsidR="0015567C" w:rsidRPr="009E6009" w:rsidRDefault="0015567C" w:rsidP="009E600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6009">
              <w:t>Prescribed action</w:t>
            </w:r>
          </w:p>
        </w:tc>
      </w:tr>
      <w:tr w:rsidR="001A4264" w:rsidRPr="00421EB1" w14:paraId="138C5C13" w14:textId="77777777" w:rsidTr="00431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320EF68" w14:textId="6361FD6F" w:rsidR="001A4264" w:rsidRPr="00421EB1" w:rsidRDefault="001A4264" w:rsidP="001A4264">
            <w:pPr>
              <w:pStyle w:val="TableText-calibri10"/>
            </w:pPr>
            <w:r w:rsidRPr="00421EB1">
              <w:t>Person is age 11-12 years.</w:t>
            </w:r>
          </w:p>
        </w:tc>
        <w:tc>
          <w:tcPr>
            <w:tcW w:w="5129" w:type="dxa"/>
          </w:tcPr>
          <w:p w14:paraId="318D4492" w14:textId="41448588" w:rsidR="001A4264" w:rsidRPr="00421EB1" w:rsidRDefault="001A4264" w:rsidP="00431F61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Vaccinate using routine vaccination schedule</w:t>
            </w:r>
            <w:r w:rsidRPr="00421EB1">
              <w:t>.</w:t>
            </w:r>
          </w:p>
        </w:tc>
      </w:tr>
      <w:tr w:rsidR="001A4264" w:rsidRPr="00421EB1" w14:paraId="78D5E0D1" w14:textId="77777777" w:rsidTr="00431F61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EB37178" w14:textId="329B30F5" w:rsidR="001A4264" w:rsidRPr="00421EB1" w:rsidRDefault="001A4264" w:rsidP="001A4264">
            <w:pPr>
              <w:pStyle w:val="TableText-calibri10"/>
            </w:pPr>
            <w:r w:rsidRPr="00421EB1">
              <w:t>Person is pregnant.</w:t>
            </w:r>
          </w:p>
        </w:tc>
        <w:tc>
          <w:tcPr>
            <w:tcW w:w="5129" w:type="dxa"/>
          </w:tcPr>
          <w:p w14:paraId="3514C4FD" w14:textId="647154A9" w:rsidR="001A4264" w:rsidRPr="00421EB1" w:rsidRDefault="004818AE" w:rsidP="00431F61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Give </w:t>
            </w:r>
            <w:r w:rsidR="005D6A33">
              <w:t xml:space="preserve">1 dose Tdap during each pregnancy, </w:t>
            </w:r>
            <w:r w:rsidR="001068EA">
              <w:t xml:space="preserve">preferably in early part of gestational weeks </w:t>
            </w:r>
            <w:r w:rsidR="001A4264" w:rsidRPr="00421EB1">
              <w:t>27-36</w:t>
            </w:r>
            <w:r w:rsidR="001068EA">
              <w:t>.</w:t>
            </w:r>
          </w:p>
        </w:tc>
      </w:tr>
      <w:tr w:rsidR="001A4264" w:rsidRPr="00421EB1" w14:paraId="20DE80C1" w14:textId="77777777" w:rsidTr="00431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0D56E08F" w:rsidR="001A4264" w:rsidRPr="009E6009" w:rsidRDefault="0095150C" w:rsidP="001A4264">
            <w:pPr>
              <w:pStyle w:val="TableText-calibri10"/>
            </w:pPr>
            <w:r>
              <w:t>P</w:t>
            </w:r>
            <w:r w:rsidR="001A4264" w:rsidRPr="00421EB1">
              <w:t xml:space="preserve">erson </w:t>
            </w:r>
            <w:r>
              <w:t xml:space="preserve">is </w:t>
            </w:r>
            <w:r w:rsidR="001A4264" w:rsidRPr="00421EB1">
              <w:t>age 7 years and older and has not received a primary series for diphtheria and tetanus.</w:t>
            </w:r>
          </w:p>
        </w:tc>
        <w:tc>
          <w:tcPr>
            <w:tcW w:w="5129" w:type="dxa"/>
          </w:tcPr>
          <w:p w14:paraId="3FAE6827" w14:textId="58F19235" w:rsidR="001A4264" w:rsidRPr="009E6009" w:rsidRDefault="001A4264" w:rsidP="001A4264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1EB1">
              <w:t>Initiate Tdap</w:t>
            </w:r>
            <w:r>
              <w:t>/Td</w:t>
            </w:r>
            <w:r w:rsidRPr="00421EB1">
              <w:t xml:space="preserve"> primary </w:t>
            </w:r>
            <w:r>
              <w:t xml:space="preserve">catch-up </w:t>
            </w:r>
            <w:r w:rsidRPr="00421EB1">
              <w:t>series if meets remaining criteria.</w:t>
            </w:r>
          </w:p>
        </w:tc>
      </w:tr>
      <w:tr w:rsidR="0095150C" w:rsidRPr="00421EB1" w14:paraId="316A83ED" w14:textId="77777777" w:rsidTr="00431F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9BB2080" w14:textId="20BCA747" w:rsidR="0095150C" w:rsidRPr="00421EB1" w:rsidDel="0095150C" w:rsidRDefault="0095150C" w:rsidP="0095150C">
            <w:pPr>
              <w:pStyle w:val="TableText-calibri10"/>
            </w:pPr>
            <w:r w:rsidRPr="00421EB1">
              <w:t>Person is less than age 7 years.</w:t>
            </w:r>
          </w:p>
        </w:tc>
        <w:tc>
          <w:tcPr>
            <w:tcW w:w="5129" w:type="dxa"/>
          </w:tcPr>
          <w:p w14:paraId="7ADAA7F6" w14:textId="006A07BE" w:rsidR="0095150C" w:rsidRPr="00421EB1" w:rsidRDefault="0095150C" w:rsidP="00431F61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1EB1">
              <w:t xml:space="preserve">Do not give </w:t>
            </w:r>
            <w:r>
              <w:t xml:space="preserve">Tdap or </w:t>
            </w:r>
            <w:r w:rsidRPr="00421EB1">
              <w:t>Td. Follow DTaP protocol.</w:t>
            </w:r>
          </w:p>
        </w:tc>
      </w:tr>
      <w:tr w:rsidR="0095150C" w:rsidRPr="00421EB1" w14:paraId="1A515FE4" w14:textId="77777777" w:rsidTr="00431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26F04BF7" w:rsidR="0095150C" w:rsidRPr="009E6009" w:rsidRDefault="0095150C" w:rsidP="0095150C">
            <w:pPr>
              <w:pStyle w:val="TableText-calibri10"/>
            </w:pPr>
            <w:r>
              <w:t>P</w:t>
            </w:r>
            <w:r w:rsidRPr="00421EB1">
              <w:t>erson who has previously received Tdap and is due for tetanus and diphtheria-containing booster.</w:t>
            </w:r>
          </w:p>
        </w:tc>
        <w:tc>
          <w:tcPr>
            <w:tcW w:w="5129" w:type="dxa"/>
          </w:tcPr>
          <w:p w14:paraId="3AD50C9B" w14:textId="6B9F1825" w:rsidR="0095150C" w:rsidRPr="009E6009" w:rsidRDefault="0095150C" w:rsidP="0095150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1EB1">
              <w:t xml:space="preserve">Give </w:t>
            </w:r>
            <w:r>
              <w:t>Td or Tdap</w:t>
            </w:r>
            <w:r w:rsidRPr="00421EB1">
              <w:t xml:space="preserve"> if meets remaining criteria.</w:t>
            </w:r>
          </w:p>
        </w:tc>
      </w:tr>
      <w:tr w:rsidR="0095150C" w:rsidRPr="00421EB1" w14:paraId="0F577933" w14:textId="77777777" w:rsidTr="00431F6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shd w:val="clear" w:color="auto" w:fill="FFFFFF" w:themeFill="background1"/>
          </w:tcPr>
          <w:p w14:paraId="289E3821" w14:textId="372048D2" w:rsidR="0095150C" w:rsidRPr="00421EB1" w:rsidRDefault="0095150C" w:rsidP="0095150C">
            <w:pPr>
              <w:pStyle w:val="TableText-calibri10"/>
            </w:pPr>
            <w:r w:rsidRPr="00421EB1">
              <w:t>Person is due for Td booster dose and has not received a Tdap.</w:t>
            </w:r>
          </w:p>
        </w:tc>
        <w:tc>
          <w:tcPr>
            <w:tcW w:w="5129" w:type="dxa"/>
            <w:shd w:val="clear" w:color="auto" w:fill="FFFFFF" w:themeFill="background1"/>
          </w:tcPr>
          <w:p w14:paraId="58DC1D28" w14:textId="64F384E9" w:rsidR="0095150C" w:rsidRPr="009E6009" w:rsidRDefault="0095150C" w:rsidP="0095150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1EB1">
              <w:t xml:space="preserve">Give </w:t>
            </w:r>
            <w:r>
              <w:t>Tdap</w:t>
            </w:r>
            <w:r w:rsidRPr="00421EB1">
              <w:t xml:space="preserve"> if meets remaining criteria.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421EB1" w14:paraId="03431DC1" w14:textId="77777777" w:rsidTr="00431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9E6009" w:rsidRDefault="0015567C" w:rsidP="009E6009">
            <w:pPr>
              <w:pStyle w:val="TableText-calibri10"/>
            </w:pPr>
            <w:r w:rsidRPr="009E6009">
              <w:t>Criteria</w:t>
            </w:r>
          </w:p>
        </w:tc>
        <w:tc>
          <w:tcPr>
            <w:tcW w:w="5129" w:type="dxa"/>
          </w:tcPr>
          <w:p w14:paraId="4692A7FB" w14:textId="77777777" w:rsidR="0015567C" w:rsidRPr="009E6009" w:rsidRDefault="0015567C" w:rsidP="009E600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6009">
              <w:t>Prescribed action</w:t>
            </w:r>
          </w:p>
        </w:tc>
      </w:tr>
      <w:tr w:rsidR="00185403" w:rsidRPr="00421EB1" w14:paraId="7005D129" w14:textId="77777777" w:rsidTr="00431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30E2A09B" w:rsidR="00185403" w:rsidRPr="009E6009" w:rsidRDefault="009E6009" w:rsidP="009E6009">
            <w:pPr>
              <w:pStyle w:val="TableText-calibri10"/>
            </w:pPr>
            <w:r w:rsidRPr="00421EB1">
              <w:t xml:space="preserve">Person had a </w:t>
            </w:r>
            <w:r w:rsidR="007945EE">
              <w:t>severe</w:t>
            </w:r>
            <w:r w:rsidR="007945EE" w:rsidRPr="00421EB1">
              <w:t xml:space="preserve"> </w:t>
            </w:r>
            <w:r w:rsidRPr="00421EB1">
              <w:t>allergic reaction to a previous dose of DTaP, DT or Td.</w:t>
            </w:r>
          </w:p>
        </w:tc>
        <w:tc>
          <w:tcPr>
            <w:tcW w:w="5129" w:type="dxa"/>
          </w:tcPr>
          <w:p w14:paraId="68751DD1" w14:textId="09873CE9" w:rsidR="00185403" w:rsidRPr="009E6009" w:rsidRDefault="009E6009" w:rsidP="00421EB1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1EB1">
              <w:t>Do not vaccinate; _____________________</w:t>
            </w:r>
          </w:p>
        </w:tc>
      </w:tr>
      <w:tr w:rsidR="00185403" w:rsidRPr="00421EB1" w14:paraId="0B0C8027" w14:textId="77777777" w:rsidTr="00431F61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62B9F88C" w:rsidR="00185403" w:rsidRPr="009E6009" w:rsidRDefault="009E6009" w:rsidP="009E6009">
            <w:pPr>
              <w:pStyle w:val="TableText-calibri10"/>
            </w:pPr>
            <w:r w:rsidRPr="00421EB1">
              <w:lastRenderedPageBreak/>
              <w:t xml:space="preserve">Person has a </w:t>
            </w:r>
            <w:r w:rsidR="007945EE">
              <w:t>severe</w:t>
            </w:r>
            <w:r w:rsidR="007945EE" w:rsidRPr="00421EB1">
              <w:t xml:space="preserve"> </w:t>
            </w:r>
            <w:r w:rsidRPr="00421EB1">
              <w:t>allergic reaction to a component of any of the Td/Tdap vaccines.</w:t>
            </w:r>
          </w:p>
        </w:tc>
        <w:tc>
          <w:tcPr>
            <w:tcW w:w="5129" w:type="dxa"/>
          </w:tcPr>
          <w:p w14:paraId="753EF366" w14:textId="5696685D" w:rsidR="00185403" w:rsidRPr="009E6009" w:rsidRDefault="009E6009" w:rsidP="00421EB1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1EB1">
              <w:t>Do not vaccinate; _____________________</w:t>
            </w:r>
          </w:p>
        </w:tc>
      </w:tr>
      <w:tr w:rsidR="009E6009" w:rsidRPr="00421EB1" w14:paraId="1FC9CB7E" w14:textId="77777777" w:rsidTr="00431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BA27701" w14:textId="28868884" w:rsidR="009E6009" w:rsidRPr="00421EB1" w:rsidRDefault="009E6009" w:rsidP="009E6009">
            <w:pPr>
              <w:pStyle w:val="TableText-calibri10"/>
            </w:pPr>
            <w:r w:rsidRPr="00421EB1">
              <w:t>Person developed encephalopathy within 7 days of receipt of a pertussis-containing vaccine and it was not due to another identifiable cause.</w:t>
            </w:r>
          </w:p>
        </w:tc>
        <w:tc>
          <w:tcPr>
            <w:tcW w:w="5129" w:type="dxa"/>
          </w:tcPr>
          <w:p w14:paraId="52BC605E" w14:textId="34F2E926" w:rsidR="009E6009" w:rsidRPr="009E6009" w:rsidRDefault="009E6009" w:rsidP="00421EB1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1EB1">
              <w:t>Give all doses in a primary series as Td. Do not give Tdap as one of the primary series doses.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421EB1" w14:paraId="7BD181FC" w14:textId="77777777" w:rsidTr="00431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9E6009" w:rsidRDefault="0015567C" w:rsidP="009E6009">
            <w:pPr>
              <w:pStyle w:val="TableText-calibri10"/>
            </w:pPr>
            <w:r w:rsidRPr="009E6009">
              <w:t>Criteria</w:t>
            </w:r>
          </w:p>
        </w:tc>
        <w:tc>
          <w:tcPr>
            <w:tcW w:w="5129" w:type="dxa"/>
          </w:tcPr>
          <w:p w14:paraId="176E4172" w14:textId="77777777" w:rsidR="0015567C" w:rsidRPr="009E6009" w:rsidRDefault="0015567C" w:rsidP="009E6009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6009">
              <w:t>Prescribed action</w:t>
            </w:r>
          </w:p>
        </w:tc>
      </w:tr>
      <w:tr w:rsidR="00926635" w:rsidRPr="00421EB1" w14:paraId="5896B4F6" w14:textId="77777777" w:rsidTr="00431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488DCD69" w:rsidR="00926635" w:rsidRPr="009E6009" w:rsidRDefault="009E6009" w:rsidP="009E6009">
            <w:pPr>
              <w:pStyle w:val="TableText-calibri10"/>
            </w:pPr>
            <w:r w:rsidRPr="00421EB1">
              <w:t>Person is currently on antibiotic therapy.</w:t>
            </w:r>
          </w:p>
        </w:tc>
        <w:tc>
          <w:tcPr>
            <w:tcW w:w="5129" w:type="dxa"/>
          </w:tcPr>
          <w:p w14:paraId="27B7FDF7" w14:textId="52273066" w:rsidR="00926635" w:rsidRPr="009E6009" w:rsidRDefault="009E6009" w:rsidP="00421EB1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1EB1">
              <w:t>Proceed to vaccinate.</w:t>
            </w:r>
          </w:p>
        </w:tc>
      </w:tr>
      <w:tr w:rsidR="59BEB75F" w:rsidRPr="00421EB1" w14:paraId="0DDCB27F" w14:textId="77777777" w:rsidTr="00431F61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0241E35D" w:rsidR="06C91713" w:rsidRPr="009E6009" w:rsidRDefault="009E6009" w:rsidP="009E6009">
            <w:pPr>
              <w:pStyle w:val="TableText-calibri10"/>
            </w:pPr>
            <w:r w:rsidRPr="00421EB1">
              <w:t>Person has a mild illness defined as temperature less than ____°F/°C with symptoms such as: {to be determined by medical prescriber}</w:t>
            </w:r>
          </w:p>
        </w:tc>
        <w:tc>
          <w:tcPr>
            <w:tcW w:w="5129" w:type="dxa"/>
          </w:tcPr>
          <w:p w14:paraId="6FBAFC44" w14:textId="731C88EB" w:rsidR="06C91713" w:rsidRPr="009E6009" w:rsidRDefault="009E6009" w:rsidP="00421EB1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1EB1">
              <w:t>Proceed to vaccinate.</w:t>
            </w:r>
          </w:p>
        </w:tc>
      </w:tr>
      <w:tr w:rsidR="009E6009" w:rsidRPr="00421EB1" w14:paraId="176078F4" w14:textId="77777777" w:rsidTr="00431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40717A3" w14:textId="05136385" w:rsidR="009E6009" w:rsidRPr="00421EB1" w:rsidRDefault="009E6009" w:rsidP="009E6009">
            <w:pPr>
              <w:pStyle w:val="TableText-calibri10"/>
            </w:pPr>
            <w:r w:rsidRPr="00421EB1">
              <w:t>Person has a moderate to severe illness defined as temperature ____°F/°C or higher with symptoms such as: {to be determined by medical prescriber}</w:t>
            </w:r>
          </w:p>
        </w:tc>
        <w:tc>
          <w:tcPr>
            <w:tcW w:w="5129" w:type="dxa"/>
          </w:tcPr>
          <w:p w14:paraId="6F227146" w14:textId="6E0681AD" w:rsidR="009E6009" w:rsidRPr="009E6009" w:rsidRDefault="009E6009" w:rsidP="00421EB1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1EB1">
              <w:t>Defer vaccination and {to be determined by medical prescriber}</w:t>
            </w:r>
          </w:p>
        </w:tc>
      </w:tr>
      <w:tr w:rsidR="009E6009" w:rsidRPr="00421EB1" w14:paraId="728F51AD" w14:textId="77777777" w:rsidTr="00431F61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B04FB88" w14:textId="1388A8C7" w:rsidR="009E6009" w:rsidRPr="00421EB1" w:rsidRDefault="009E6009" w:rsidP="009E6009">
            <w:pPr>
              <w:pStyle w:val="TableText-calibri10"/>
            </w:pPr>
            <w:r w:rsidRPr="00421EB1">
              <w:t>Current progressive neurological disorder.</w:t>
            </w:r>
          </w:p>
        </w:tc>
        <w:tc>
          <w:tcPr>
            <w:tcW w:w="5129" w:type="dxa"/>
          </w:tcPr>
          <w:p w14:paraId="093287C5" w14:textId="33063105" w:rsidR="009E6009" w:rsidRPr="009E6009" w:rsidRDefault="009E6009" w:rsidP="00421EB1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1EB1">
              <w:t>[Refer to primary care provider.] [Give all doses in a primary series as Td. Do not give Tdap as one of the primary series doses.]</w:t>
            </w:r>
          </w:p>
        </w:tc>
      </w:tr>
      <w:tr w:rsidR="009E6009" w:rsidRPr="00421EB1" w14:paraId="3786AF8D" w14:textId="77777777" w:rsidTr="00431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39FEF41" w14:textId="7A26F59B" w:rsidR="009E6009" w:rsidRPr="00421EB1" w:rsidRDefault="009E6009" w:rsidP="009E6009">
            <w:pPr>
              <w:pStyle w:val="TableText-calibri10"/>
            </w:pPr>
            <w:r w:rsidRPr="00421EB1">
              <w:t>History of Arthus-type reaction following a previous dose of tetanus-toxoid containing vaccine.</w:t>
            </w:r>
          </w:p>
        </w:tc>
        <w:tc>
          <w:tcPr>
            <w:tcW w:w="5129" w:type="dxa"/>
          </w:tcPr>
          <w:p w14:paraId="19AA5B8B" w14:textId="76839266" w:rsidR="009E6009" w:rsidRPr="009E6009" w:rsidRDefault="009E6009" w:rsidP="00421EB1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1EB1">
              <w:t>Proceed to vaccinate only if it has been at least 10 years since previous dose of tetanus-toxoid containing vaccine.</w:t>
            </w:r>
          </w:p>
        </w:tc>
      </w:tr>
      <w:tr w:rsidR="009E6009" w:rsidRPr="00421EB1" w14:paraId="1DF9CD03" w14:textId="77777777" w:rsidTr="00431F61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7919EFB" w14:textId="48187434" w:rsidR="009E6009" w:rsidRPr="00421EB1" w:rsidRDefault="009E6009" w:rsidP="009E6009">
            <w:pPr>
              <w:pStyle w:val="TableText-calibri10"/>
            </w:pPr>
            <w:r w:rsidRPr="00421EB1">
              <w:t>Guillan-Barré syndrome (GBS) within 6 weeks after a previous dose of tetanus toxoid-containing vaccine.</w:t>
            </w:r>
          </w:p>
        </w:tc>
        <w:tc>
          <w:tcPr>
            <w:tcW w:w="5129" w:type="dxa"/>
          </w:tcPr>
          <w:p w14:paraId="088CD5FC" w14:textId="4D21D8C2" w:rsidR="009E6009" w:rsidRPr="009E6009" w:rsidRDefault="009E6009" w:rsidP="00421EB1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1EB1">
              <w:t>[Refer to primary care provider for evaluation of risk and benefit of vaccination.]</w:t>
            </w:r>
          </w:p>
        </w:tc>
      </w:tr>
    </w:tbl>
    <w:p w14:paraId="52EB7641" w14:textId="77777777" w:rsidR="0015567C" w:rsidRDefault="0015567C" w:rsidP="00FA3AE0">
      <w:pPr>
        <w:pStyle w:val="Heading2"/>
        <w:keepNext/>
      </w:pPr>
      <w:r>
        <w:t>Prescription</w:t>
      </w:r>
    </w:p>
    <w:p w14:paraId="0218AC8A" w14:textId="5CC84FE0" w:rsidR="00C63AEB" w:rsidRDefault="00EE679A" w:rsidP="00775195">
      <w:pPr>
        <w:pStyle w:val="ListBullet"/>
      </w:pPr>
      <w:r>
        <w:t xml:space="preserve">Tdap: </w:t>
      </w:r>
      <w:r w:rsidR="00C63AEB" w:rsidRPr="00EB6C35">
        <w:t xml:space="preserve">0.5 ml, </w:t>
      </w:r>
      <w:r w:rsidR="00C63AEB">
        <w:t>intramuscular (</w:t>
      </w:r>
      <w:r w:rsidR="00C63AEB" w:rsidRPr="00EB6C35">
        <w:t>IM</w:t>
      </w:r>
      <w:r w:rsidR="00C63AEB">
        <w:t>)</w:t>
      </w:r>
      <w:r w:rsidR="00775195">
        <w:t>, or</w:t>
      </w:r>
    </w:p>
    <w:p w14:paraId="7E2BF7F1" w14:textId="7A4B656B" w:rsidR="00F83B5D" w:rsidRDefault="00F83B5D" w:rsidP="00775195">
      <w:pPr>
        <w:pStyle w:val="ListBullet"/>
      </w:pPr>
      <w:r>
        <w:t>Td: 0.5 m</w:t>
      </w:r>
      <w:r w:rsidR="000D148F">
        <w:t>l, intramuscular (IM)</w:t>
      </w:r>
      <w:r w:rsidR="00775195">
        <w:t>.</w:t>
      </w:r>
    </w:p>
    <w:p w14:paraId="44C0F9D4" w14:textId="1380F325" w:rsidR="001143CD" w:rsidRDefault="001143CD" w:rsidP="00431F61">
      <w:pPr>
        <w:pStyle w:val="Heading3"/>
      </w:pPr>
      <w:r>
        <w:t>Routine vaccination</w:t>
      </w:r>
    </w:p>
    <w:p w14:paraId="087F5FF5" w14:textId="2CAF4649" w:rsidR="00C023D0" w:rsidRPr="00EB6C35" w:rsidRDefault="000A17A4" w:rsidP="00775195">
      <w:pPr>
        <w:pStyle w:val="ListBullet"/>
      </w:pPr>
      <w:r>
        <w:t>Adolescents age 11-12 years: 1 dose</w:t>
      </w:r>
      <w:r w:rsidR="00C023D0" w:rsidRPr="00EB6C35">
        <w:t xml:space="preserve"> Tdap </w:t>
      </w:r>
    </w:p>
    <w:p w14:paraId="709DA632" w14:textId="3A33F766" w:rsidR="00C023D0" w:rsidRDefault="000A17A4" w:rsidP="00775195">
      <w:pPr>
        <w:pStyle w:val="ListBullet"/>
      </w:pPr>
      <w:r>
        <w:t xml:space="preserve">Pregnancy: 1 </w:t>
      </w:r>
      <w:r w:rsidR="00C023D0">
        <w:t>dose Tdap during each pregnancy, preferably in early part of gestational weeks 27-36.</w:t>
      </w:r>
      <w:r w:rsidR="007C4F93">
        <w:t xml:space="preserve"> </w:t>
      </w:r>
      <w:r w:rsidR="00B42143">
        <w:t>Tdap may be administered regardless of the interval since the last tetanus- and diphtheria-tox</w:t>
      </w:r>
      <w:r w:rsidR="00FE4020">
        <w:t>oid-containing vaccine.</w:t>
      </w:r>
    </w:p>
    <w:p w14:paraId="31DEDFBF" w14:textId="54FCA10A" w:rsidR="00FE4020" w:rsidRDefault="00FE4020" w:rsidP="00431F61">
      <w:pPr>
        <w:pStyle w:val="Heading3"/>
      </w:pPr>
      <w:r>
        <w:t>Catch-up schedule</w:t>
      </w:r>
    </w:p>
    <w:p w14:paraId="79265018" w14:textId="730199BC" w:rsidR="00D10BB3" w:rsidRPr="00775195" w:rsidRDefault="00F2343A" w:rsidP="00775195">
      <w:pPr>
        <w:pStyle w:val="ListBullet"/>
      </w:pPr>
      <w:r w:rsidRPr="00775195">
        <w:t>Adolescents age 13–18 years who have not received Tdap: 1 dose Tdap, then Td or Tdap booster every 10 years</w:t>
      </w:r>
      <w:r w:rsidR="00775195">
        <w:t>.</w:t>
      </w:r>
    </w:p>
    <w:p w14:paraId="34609365" w14:textId="122F4C9F" w:rsidR="00DF7C42" w:rsidRPr="00815FF0" w:rsidRDefault="009E6009" w:rsidP="00431F61">
      <w:pPr>
        <w:pStyle w:val="Heading3"/>
      </w:pPr>
      <w:r w:rsidRPr="00815FF0">
        <w:t xml:space="preserve">Td/Tdap </w:t>
      </w:r>
      <w:r w:rsidR="00DF7C42" w:rsidRPr="00815FF0">
        <w:t xml:space="preserve">Catch-up </w:t>
      </w:r>
      <w:r w:rsidRPr="00815FF0">
        <w:t>Primary Series</w:t>
      </w:r>
    </w:p>
    <w:p w14:paraId="3746C61B" w14:textId="4A1F4745" w:rsidR="009E6009" w:rsidRDefault="009E6009" w:rsidP="00431F61">
      <w:r w:rsidRPr="009E6009">
        <w:t xml:space="preserve">Follow a schedule of 0, 1, 7 months. Give </w:t>
      </w:r>
      <w:r w:rsidR="00876464">
        <w:t xml:space="preserve">at least </w:t>
      </w:r>
      <w:r w:rsidRPr="009E6009">
        <w:t xml:space="preserve">one dose of Tdap and </w:t>
      </w:r>
      <w:r w:rsidR="00E051E7">
        <w:t xml:space="preserve">remaining </w:t>
      </w:r>
      <w:r w:rsidRPr="009E6009">
        <w:t xml:space="preserve">two doses </w:t>
      </w:r>
      <w:r w:rsidR="007D61EB">
        <w:t xml:space="preserve">as either </w:t>
      </w:r>
      <w:r w:rsidR="00876464">
        <w:t xml:space="preserve">Tdap or </w:t>
      </w:r>
      <w:r w:rsidRPr="009E6009">
        <w:t>Td. Give Tdap as the first dose (if feasible, otherwise ensure it is one of the three doses).</w:t>
      </w:r>
    </w:p>
    <w:p w14:paraId="3D405DE4" w14:textId="77777777" w:rsidR="00421EB1" w:rsidRDefault="009E6009" w:rsidP="00775195">
      <w:pPr>
        <w:pStyle w:val="ListBullet"/>
      </w:pPr>
      <w:r w:rsidRPr="009E6009">
        <w:lastRenderedPageBreak/>
        <w:t>Use the following intervals for completing the 3-dose series:</w:t>
      </w:r>
    </w:p>
    <w:p w14:paraId="56FDB281" w14:textId="21083CD9" w:rsidR="00421EB1" w:rsidRPr="00775195" w:rsidRDefault="009E6009" w:rsidP="00775195">
      <w:pPr>
        <w:pStyle w:val="ListBullet"/>
        <w:numPr>
          <w:ilvl w:val="1"/>
          <w:numId w:val="9"/>
        </w:numPr>
      </w:pPr>
      <w:r w:rsidRPr="00775195">
        <w:t xml:space="preserve">The minimum interval between </w:t>
      </w:r>
      <w:r w:rsidR="00C26762" w:rsidRPr="00775195">
        <w:t>dose 1</w:t>
      </w:r>
      <w:r w:rsidRPr="00775195">
        <w:t xml:space="preserve"> and dose</w:t>
      </w:r>
      <w:r w:rsidR="00C26762" w:rsidRPr="00775195">
        <w:t xml:space="preserve"> 2</w:t>
      </w:r>
      <w:r w:rsidRPr="00775195">
        <w:t xml:space="preserve"> is 4 weeks</w:t>
      </w:r>
    </w:p>
    <w:p w14:paraId="6D00D1E0" w14:textId="7B64DC2A" w:rsidR="009E6009" w:rsidRPr="00775195" w:rsidRDefault="009E6009" w:rsidP="00775195">
      <w:pPr>
        <w:pStyle w:val="ListBullet"/>
        <w:numPr>
          <w:ilvl w:val="1"/>
          <w:numId w:val="9"/>
        </w:numPr>
      </w:pPr>
      <w:r w:rsidRPr="00775195">
        <w:t xml:space="preserve">The minimum interval between </w:t>
      </w:r>
      <w:r w:rsidR="00C26762" w:rsidRPr="00775195">
        <w:t>dose 2</w:t>
      </w:r>
      <w:r w:rsidRPr="00775195">
        <w:t xml:space="preserve"> and dose</w:t>
      </w:r>
      <w:r w:rsidR="00C26762" w:rsidRPr="00775195">
        <w:t xml:space="preserve"> 3</w:t>
      </w:r>
      <w:r w:rsidRPr="00775195">
        <w:t xml:space="preserve"> is 6 months.</w:t>
      </w:r>
    </w:p>
    <w:p w14:paraId="1FAB1DF7" w14:textId="008A1B95" w:rsidR="00D80DBA" w:rsidRPr="00775195" w:rsidRDefault="00D80DBA" w:rsidP="00775195">
      <w:pPr>
        <w:pStyle w:val="ListBullet"/>
        <w:numPr>
          <w:ilvl w:val="1"/>
          <w:numId w:val="9"/>
        </w:numPr>
      </w:pPr>
      <w:r w:rsidRPr="00775195">
        <w:t>If the first dose was DTaP/DT given before the f</w:t>
      </w:r>
      <w:r w:rsidR="00DD5C1E" w:rsidRPr="00775195">
        <w:t>irst birthday, the interval between dose 2 and dose 3 is 4 weeks</w:t>
      </w:r>
      <w:r w:rsidR="00C26762" w:rsidRPr="00775195">
        <w:t xml:space="preserve"> and dose 4 should be given 6 months after dose 3. </w:t>
      </w:r>
    </w:p>
    <w:p w14:paraId="4E66CCE7" w14:textId="3B81E6F4" w:rsidR="00495EB0" w:rsidRDefault="00495EB0" w:rsidP="00775195">
      <w:pPr>
        <w:pStyle w:val="ListBullet"/>
      </w:pPr>
      <w:r>
        <w:t>Tdap administered at age 7–10 years</w:t>
      </w:r>
      <w:r w:rsidR="00E3271D">
        <w:t>:</w:t>
      </w:r>
    </w:p>
    <w:p w14:paraId="58CFA92F" w14:textId="77777777" w:rsidR="00495EB0" w:rsidRPr="00775195" w:rsidRDefault="00495EB0" w:rsidP="00775195">
      <w:pPr>
        <w:pStyle w:val="ListBullet"/>
        <w:numPr>
          <w:ilvl w:val="1"/>
          <w:numId w:val="9"/>
        </w:numPr>
      </w:pPr>
      <w:r w:rsidRPr="00775195">
        <w:t>Children age 7–9 years who receive Tdap should receive the routine Tdap dose at age 11–12 years.</w:t>
      </w:r>
    </w:p>
    <w:p w14:paraId="33189DB4" w14:textId="3CD9DE50" w:rsidR="00876464" w:rsidRPr="00775195" w:rsidRDefault="00495EB0" w:rsidP="00775195">
      <w:pPr>
        <w:pStyle w:val="ListBullet"/>
        <w:numPr>
          <w:ilvl w:val="1"/>
          <w:numId w:val="9"/>
        </w:numPr>
      </w:pPr>
      <w:r w:rsidRPr="00775195">
        <w:t>Children age 10 years who receive Tdap do not need the routine Tdap dose at age 11–12 years.</w:t>
      </w:r>
    </w:p>
    <w:p w14:paraId="6B168CC4" w14:textId="675F40AD" w:rsidR="001D141D" w:rsidRDefault="001D141D" w:rsidP="00431F61">
      <w:pPr>
        <w:pStyle w:val="Heading3"/>
      </w:pPr>
      <w:r>
        <w:t>Booster dose</w:t>
      </w:r>
    </w:p>
    <w:p w14:paraId="4A2BD79B" w14:textId="20D41B03" w:rsidR="00C20CCE" w:rsidRDefault="00D65B0C" w:rsidP="00775195">
      <w:pPr>
        <w:pStyle w:val="ListBullet"/>
      </w:pPr>
      <w:r w:rsidRPr="00431F61">
        <w:t>Previously did not receive Tdap at or after age 11 years:</w:t>
      </w:r>
      <w:r w:rsidRPr="00D65B0C">
        <w:t xml:space="preserve"> 1 dose Tdap, then Td or Tdap every 10 years</w:t>
      </w:r>
      <w:r w:rsidR="00242AAA">
        <w:t>.</w:t>
      </w:r>
    </w:p>
    <w:p w14:paraId="79EC657A" w14:textId="3EAFCF2D" w:rsidR="00F37A73" w:rsidRPr="00431F61" w:rsidRDefault="00FF4C1C" w:rsidP="00775195">
      <w:pPr>
        <w:pStyle w:val="ListBullet"/>
      </w:pPr>
      <w:r w:rsidRPr="00042A87">
        <w:t>Pe</w:t>
      </w:r>
      <w:r w:rsidR="00242AAA" w:rsidRPr="00042A87">
        <w:t>ople</w:t>
      </w:r>
      <w:r w:rsidRPr="00042A87">
        <w:t xml:space="preserve"> age 19 years and older:</w:t>
      </w:r>
      <w:r>
        <w:t xml:space="preserve"> 1 dose Tdap or Td</w:t>
      </w:r>
      <w:r w:rsidR="00242AAA">
        <w:t xml:space="preserve"> every 10 years.</w:t>
      </w:r>
    </w:p>
    <w:p w14:paraId="0202AEEB" w14:textId="77777777" w:rsidR="00846240" w:rsidRDefault="00FB5580" w:rsidP="00775195">
      <w:pPr>
        <w:pStyle w:val="ListBullet"/>
      </w:pPr>
      <w:r w:rsidRPr="00042A87">
        <w:t>Wound management:</w:t>
      </w:r>
      <w:r w:rsidRPr="00FB5580">
        <w:t xml:space="preserve"> Persons with 3 or more doses of tetanus-toxoid-containing vaccine: </w:t>
      </w:r>
    </w:p>
    <w:p w14:paraId="733C0D26" w14:textId="4C410BC8" w:rsidR="00846240" w:rsidRDefault="00FB5580" w:rsidP="00775195">
      <w:pPr>
        <w:pStyle w:val="ListBullet"/>
        <w:numPr>
          <w:ilvl w:val="1"/>
          <w:numId w:val="9"/>
        </w:numPr>
      </w:pPr>
      <w:r w:rsidRPr="00FB5580">
        <w:t>For clean and minor wounds</w:t>
      </w:r>
      <w:r w:rsidR="00BE0B49">
        <w:t>:</w:t>
      </w:r>
      <w:r w:rsidRPr="00FB5580">
        <w:t xml:space="preserve"> administer Tdap or Td if more than 10 years since last dose of tetanus-toxoid-containing vaccine</w:t>
      </w:r>
      <w:r w:rsidR="000160B3">
        <w:t>.</w:t>
      </w:r>
    </w:p>
    <w:p w14:paraId="083F9564" w14:textId="6ED6DDA0" w:rsidR="0003294A" w:rsidRDefault="00846240" w:rsidP="00775195">
      <w:pPr>
        <w:pStyle w:val="ListBullet"/>
        <w:numPr>
          <w:ilvl w:val="1"/>
          <w:numId w:val="9"/>
        </w:numPr>
      </w:pPr>
      <w:r>
        <w:t>F</w:t>
      </w:r>
      <w:r w:rsidR="00FB5580" w:rsidRPr="00FB5580">
        <w:t>or all other wounds</w:t>
      </w:r>
      <w:r w:rsidR="00BE0B49">
        <w:t xml:space="preserve">: </w:t>
      </w:r>
      <w:r w:rsidR="00FB5580" w:rsidRPr="00FB5580">
        <w:t xml:space="preserve">administer Tdap or Td if more than 5 years since last dose of tetanus-toxoid-containing vaccine. </w:t>
      </w:r>
    </w:p>
    <w:p w14:paraId="22EFD1DA" w14:textId="619BD3DE" w:rsidR="00627BF7" w:rsidRDefault="000160B3" w:rsidP="00AF7D35">
      <w:pPr>
        <w:pStyle w:val="NormalLtBlueBackground"/>
      </w:pPr>
      <w:r>
        <w:t xml:space="preserve">Note: </w:t>
      </w:r>
      <w:r w:rsidR="00FB5580" w:rsidRPr="00FB5580">
        <w:t>Tdap is preferred for persons who have not previously received Tdap or whose Tdap history is unknown.</w:t>
      </w:r>
    </w:p>
    <w:p w14:paraId="47F71219" w14:textId="1B1E4AB6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042A87">
      <w:pPr>
        <w:spacing w:before="360"/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431F61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3BB8" w14:textId="77777777" w:rsidR="000E4D36" w:rsidRDefault="000E4D36" w:rsidP="00D36495">
      <w:r>
        <w:separator/>
      </w:r>
    </w:p>
  </w:endnote>
  <w:endnote w:type="continuationSeparator" w:id="0">
    <w:p w14:paraId="5C33E5D4" w14:textId="77777777" w:rsidR="000E4D36" w:rsidRDefault="000E4D36" w:rsidP="00D36495">
      <w:r>
        <w:continuationSeparator/>
      </w:r>
    </w:p>
  </w:endnote>
  <w:endnote w:type="continuationNotice" w:id="1">
    <w:p w14:paraId="2AC0898F" w14:textId="77777777" w:rsidR="000E4D36" w:rsidRDefault="000E4D3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8166" w14:textId="77777777" w:rsidR="000E4D36" w:rsidRDefault="000E4D36" w:rsidP="00D36495">
      <w:r>
        <w:separator/>
      </w:r>
    </w:p>
  </w:footnote>
  <w:footnote w:type="continuationSeparator" w:id="0">
    <w:p w14:paraId="40E04882" w14:textId="77777777" w:rsidR="000E4D36" w:rsidRDefault="000E4D36" w:rsidP="00D36495">
      <w:r>
        <w:continuationSeparator/>
      </w:r>
    </w:p>
  </w:footnote>
  <w:footnote w:type="continuationNotice" w:id="1">
    <w:p w14:paraId="7D654119" w14:textId="77777777" w:rsidR="000E4D36" w:rsidRDefault="000E4D3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45F6D7CE" w:rsidR="00782710" w:rsidRPr="00B97CDC" w:rsidRDefault="00B97CDC" w:rsidP="00B97CDC">
    <w:pPr>
      <w:pStyle w:val="Header"/>
      <w:rPr>
        <w:rFonts w:eastAsiaTheme="majorEastAsia"/>
      </w:rPr>
    </w:pPr>
    <w:r w:rsidRPr="001505A8">
      <w:rPr>
        <w:rFonts w:eastAsiaTheme="majorEastAsia"/>
      </w:rPr>
      <w:t xml:space="preserve">Tetanus </w:t>
    </w:r>
    <w:r>
      <w:rPr>
        <w:rFonts w:eastAsiaTheme="majorEastAsia"/>
      </w:rPr>
      <w:t>and</w:t>
    </w:r>
    <w:r w:rsidRPr="001505A8">
      <w:rPr>
        <w:rFonts w:eastAsiaTheme="majorEastAsia"/>
      </w:rPr>
      <w:t xml:space="preserve"> Diphtheria Toxoids and Acellular Pertussis (Tdap) </w:t>
    </w:r>
    <w:r>
      <w:rPr>
        <w:rFonts w:eastAsiaTheme="majorEastAsia"/>
      </w:rPr>
      <w:t xml:space="preserve">and Tetanus and Diphtheria (Td) Routine, Catch-up and Booster Dose Vaccine </w:t>
    </w:r>
    <w:r w:rsidRPr="001505A8">
      <w:rPr>
        <w:rFonts w:eastAsiaTheme="majorEastAsia"/>
      </w:rPr>
      <w:t>Protocol</w:t>
    </w:r>
    <w:r>
      <w:rPr>
        <w:rFonts w:eastAsiaTheme="major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0A4C40B9"/>
    <w:multiLevelType w:val="hybridMultilevel"/>
    <w:tmpl w:val="EA28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11C3C"/>
    <w:multiLevelType w:val="hybridMultilevel"/>
    <w:tmpl w:val="DDEA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DC13B7"/>
    <w:multiLevelType w:val="multilevel"/>
    <w:tmpl w:val="ECAE6B9E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147EF"/>
    <w:multiLevelType w:val="multilevel"/>
    <w:tmpl w:val="88B4C196"/>
    <w:numStyleLink w:val="Listbullets"/>
  </w:abstractNum>
  <w:abstractNum w:abstractNumId="10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3" w15:restartNumberingAfterBreak="0">
    <w:nsid w:val="502D01E1"/>
    <w:multiLevelType w:val="multilevel"/>
    <w:tmpl w:val="88B4C196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50E646B7"/>
    <w:multiLevelType w:val="multilevel"/>
    <w:tmpl w:val="88B4C196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8" w15:restartNumberingAfterBreak="0">
    <w:nsid w:val="7ECB77CF"/>
    <w:multiLevelType w:val="hybridMultilevel"/>
    <w:tmpl w:val="842E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79671">
    <w:abstractNumId w:val="15"/>
  </w:num>
  <w:num w:numId="2" w16cid:durableId="1365449467">
    <w:abstractNumId w:val="1"/>
  </w:num>
  <w:num w:numId="3" w16cid:durableId="686256189">
    <w:abstractNumId w:val="0"/>
  </w:num>
  <w:num w:numId="4" w16cid:durableId="963267779">
    <w:abstractNumId w:val="11"/>
  </w:num>
  <w:num w:numId="5" w16cid:durableId="1880315426">
    <w:abstractNumId w:val="17"/>
  </w:num>
  <w:num w:numId="6" w16cid:durableId="1496528185">
    <w:abstractNumId w:val="3"/>
  </w:num>
  <w:num w:numId="7" w16cid:durableId="1253704966">
    <w:abstractNumId w:val="2"/>
  </w:num>
  <w:num w:numId="8" w16cid:durableId="728310689">
    <w:abstractNumId w:val="9"/>
  </w:num>
  <w:num w:numId="9" w16cid:durableId="790128531">
    <w:abstractNumId w:val="7"/>
  </w:num>
  <w:num w:numId="10" w16cid:durableId="116337290">
    <w:abstractNumId w:val="16"/>
  </w:num>
  <w:num w:numId="11" w16cid:durableId="85928518">
    <w:abstractNumId w:val="12"/>
  </w:num>
  <w:num w:numId="12" w16cid:durableId="1284462490">
    <w:abstractNumId w:val="8"/>
  </w:num>
  <w:num w:numId="13" w16cid:durableId="333840641">
    <w:abstractNumId w:val="10"/>
  </w:num>
  <w:num w:numId="14" w16cid:durableId="1843659803">
    <w:abstractNumId w:val="6"/>
  </w:num>
  <w:num w:numId="15" w16cid:durableId="371882492">
    <w:abstractNumId w:val="18"/>
  </w:num>
  <w:num w:numId="16" w16cid:durableId="1184516672">
    <w:abstractNumId w:val="13"/>
  </w:num>
  <w:num w:numId="17" w16cid:durableId="402291431">
    <w:abstractNumId w:val="14"/>
  </w:num>
  <w:num w:numId="18" w16cid:durableId="201021305">
    <w:abstractNumId w:val="4"/>
  </w:num>
  <w:num w:numId="19" w16cid:durableId="31341295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60B3"/>
    <w:rsid w:val="00017AF7"/>
    <w:rsid w:val="00017D52"/>
    <w:rsid w:val="0002112F"/>
    <w:rsid w:val="00021DC5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94A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2A87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A47"/>
    <w:rsid w:val="00070B69"/>
    <w:rsid w:val="00071156"/>
    <w:rsid w:val="00071ED6"/>
    <w:rsid w:val="00072EB1"/>
    <w:rsid w:val="00072F84"/>
    <w:rsid w:val="0007381C"/>
    <w:rsid w:val="00075184"/>
    <w:rsid w:val="00075757"/>
    <w:rsid w:val="00076A4A"/>
    <w:rsid w:val="00076E89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8BC"/>
    <w:rsid w:val="00091B47"/>
    <w:rsid w:val="000933AA"/>
    <w:rsid w:val="00093838"/>
    <w:rsid w:val="00093EC5"/>
    <w:rsid w:val="00093F5A"/>
    <w:rsid w:val="00094E86"/>
    <w:rsid w:val="00095135"/>
    <w:rsid w:val="00095DC0"/>
    <w:rsid w:val="000966CC"/>
    <w:rsid w:val="00096F26"/>
    <w:rsid w:val="00097DA4"/>
    <w:rsid w:val="000A17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48F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2792"/>
    <w:rsid w:val="000E3716"/>
    <w:rsid w:val="000E3D1F"/>
    <w:rsid w:val="000E468E"/>
    <w:rsid w:val="000E4D36"/>
    <w:rsid w:val="000E542E"/>
    <w:rsid w:val="000E7E99"/>
    <w:rsid w:val="000F06EF"/>
    <w:rsid w:val="000F1830"/>
    <w:rsid w:val="000F1FDA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47EF"/>
    <w:rsid w:val="0010626D"/>
    <w:rsid w:val="0010633D"/>
    <w:rsid w:val="001068EA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43CD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05A8"/>
    <w:rsid w:val="001505F0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565B"/>
    <w:rsid w:val="00176439"/>
    <w:rsid w:val="001767F4"/>
    <w:rsid w:val="00176AD9"/>
    <w:rsid w:val="00177E87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C3D"/>
    <w:rsid w:val="001A1F13"/>
    <w:rsid w:val="001A20E1"/>
    <w:rsid w:val="001A28E8"/>
    <w:rsid w:val="001A3E76"/>
    <w:rsid w:val="001A4264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029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41D"/>
    <w:rsid w:val="001D16E6"/>
    <w:rsid w:val="001D295F"/>
    <w:rsid w:val="001D2FA5"/>
    <w:rsid w:val="001D30D1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6E3C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AA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0DAD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63B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881"/>
    <w:rsid w:val="002C1C30"/>
    <w:rsid w:val="002C2575"/>
    <w:rsid w:val="002C3501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DFB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0E3F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361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5C9"/>
    <w:rsid w:val="003B4A33"/>
    <w:rsid w:val="003B50D0"/>
    <w:rsid w:val="003B608A"/>
    <w:rsid w:val="003B64CE"/>
    <w:rsid w:val="003B6601"/>
    <w:rsid w:val="003C025C"/>
    <w:rsid w:val="003C088D"/>
    <w:rsid w:val="003C0DC6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1EB1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1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682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B61"/>
    <w:rsid w:val="00465D7B"/>
    <w:rsid w:val="00466070"/>
    <w:rsid w:val="00466963"/>
    <w:rsid w:val="00467939"/>
    <w:rsid w:val="00467AE1"/>
    <w:rsid w:val="00467B6E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546"/>
    <w:rsid w:val="00475E1F"/>
    <w:rsid w:val="00476E68"/>
    <w:rsid w:val="00477346"/>
    <w:rsid w:val="004774DF"/>
    <w:rsid w:val="00477E47"/>
    <w:rsid w:val="00480106"/>
    <w:rsid w:val="004801FE"/>
    <w:rsid w:val="00480FC1"/>
    <w:rsid w:val="004818AE"/>
    <w:rsid w:val="00481BCE"/>
    <w:rsid w:val="00481E01"/>
    <w:rsid w:val="00481F5B"/>
    <w:rsid w:val="00482BDE"/>
    <w:rsid w:val="004830BB"/>
    <w:rsid w:val="004832F0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EB0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0E8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53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7ABE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CFF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6A33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AFA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067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0792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2D47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129"/>
    <w:rsid w:val="0069299A"/>
    <w:rsid w:val="00692A59"/>
    <w:rsid w:val="00692D85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2666"/>
    <w:rsid w:val="007144FE"/>
    <w:rsid w:val="00714586"/>
    <w:rsid w:val="00714D8F"/>
    <w:rsid w:val="0071546B"/>
    <w:rsid w:val="00716254"/>
    <w:rsid w:val="00716905"/>
    <w:rsid w:val="007203CE"/>
    <w:rsid w:val="0072100C"/>
    <w:rsid w:val="00721C73"/>
    <w:rsid w:val="00722687"/>
    <w:rsid w:val="00722C15"/>
    <w:rsid w:val="00722D5F"/>
    <w:rsid w:val="007236D7"/>
    <w:rsid w:val="007240CB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C19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B37"/>
    <w:rsid w:val="00764DE5"/>
    <w:rsid w:val="00765D4D"/>
    <w:rsid w:val="007668DF"/>
    <w:rsid w:val="00767617"/>
    <w:rsid w:val="00767C06"/>
    <w:rsid w:val="007706AE"/>
    <w:rsid w:val="007712CA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195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1968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965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5EE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41BF"/>
    <w:rsid w:val="007A508C"/>
    <w:rsid w:val="007A59DB"/>
    <w:rsid w:val="007A6379"/>
    <w:rsid w:val="007A7319"/>
    <w:rsid w:val="007A765B"/>
    <w:rsid w:val="007A7B82"/>
    <w:rsid w:val="007B1A35"/>
    <w:rsid w:val="007B25C5"/>
    <w:rsid w:val="007B2B84"/>
    <w:rsid w:val="007B3222"/>
    <w:rsid w:val="007B34F4"/>
    <w:rsid w:val="007B4052"/>
    <w:rsid w:val="007B4571"/>
    <w:rsid w:val="007B484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4F93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61EB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5FF0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3563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6240"/>
    <w:rsid w:val="0084760B"/>
    <w:rsid w:val="008529CC"/>
    <w:rsid w:val="008531CA"/>
    <w:rsid w:val="00853AD4"/>
    <w:rsid w:val="008541ED"/>
    <w:rsid w:val="008545C9"/>
    <w:rsid w:val="00854DBA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6464"/>
    <w:rsid w:val="008772AF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04E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5EA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6FF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50C"/>
    <w:rsid w:val="00951603"/>
    <w:rsid w:val="00952382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009"/>
    <w:rsid w:val="009E68CE"/>
    <w:rsid w:val="009E6B5A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0B5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553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47AF5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5C1B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A45"/>
    <w:rsid w:val="00A90E45"/>
    <w:rsid w:val="00A91D97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AF7D35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2143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9B"/>
    <w:rsid w:val="00B625BB"/>
    <w:rsid w:val="00B62A0F"/>
    <w:rsid w:val="00B63A10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97CDC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5B62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0B49"/>
    <w:rsid w:val="00BE2EE9"/>
    <w:rsid w:val="00BE3103"/>
    <w:rsid w:val="00BE382A"/>
    <w:rsid w:val="00BE3896"/>
    <w:rsid w:val="00BE395A"/>
    <w:rsid w:val="00BE3ABF"/>
    <w:rsid w:val="00BE5001"/>
    <w:rsid w:val="00BE5117"/>
    <w:rsid w:val="00BE53D4"/>
    <w:rsid w:val="00BE5BB9"/>
    <w:rsid w:val="00BE6DE1"/>
    <w:rsid w:val="00BE7C43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3D0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0CCE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762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1A71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EB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1BD9"/>
    <w:rsid w:val="00CD2498"/>
    <w:rsid w:val="00CD36FD"/>
    <w:rsid w:val="00CD3810"/>
    <w:rsid w:val="00CD46CA"/>
    <w:rsid w:val="00CD7BBE"/>
    <w:rsid w:val="00CD7D17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0BB3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5B0C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0DBA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48E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C1E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05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DF7C42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51E7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271D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3FF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09D"/>
    <w:rsid w:val="00E84B4E"/>
    <w:rsid w:val="00E84D2C"/>
    <w:rsid w:val="00E85564"/>
    <w:rsid w:val="00E85BCF"/>
    <w:rsid w:val="00E8670A"/>
    <w:rsid w:val="00E868E1"/>
    <w:rsid w:val="00E86F8D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C35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679A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43A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56AC"/>
    <w:rsid w:val="00F37A73"/>
    <w:rsid w:val="00F37B58"/>
    <w:rsid w:val="00F37DFF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9AD"/>
    <w:rsid w:val="00F57F43"/>
    <w:rsid w:val="00F6016D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3B5D"/>
    <w:rsid w:val="00F84C21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4CE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3FDE"/>
    <w:rsid w:val="00FB5580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4020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4C1C"/>
    <w:rsid w:val="00FF51FE"/>
    <w:rsid w:val="00FF5583"/>
    <w:rsid w:val="00FF595D"/>
    <w:rsid w:val="00FF5A77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7F6FD708-4D3D-45F9-ACEB-DC36E3D7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7B2B84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7B2B84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7B2B84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7B2B84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7B2B84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7B2B84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775195"/>
    <w:pPr>
      <w:numPr>
        <w:numId w:val="9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F20BDD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7B2B84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locked/>
    <w:rsid w:val="009E600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1047EF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DECCF6-5407-4DDA-AE00-5B1BAA824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95469566-ff15-40dd-a806-b3ff38c3d566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fff41837-5838-4dec-ad5d-0fd8d2f05163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5</TotalTime>
  <Pages>3</Pages>
  <Words>931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Diphtheria &amp; Tetanus Toxoids (Td) Booster Dose and Td/Tdap Primary Series Vaccine Protocol</vt:lpstr>
    </vt:vector>
  </TitlesOfParts>
  <Company>State of Minnesota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Tetanus and Diphtheria Toxoids and Acellular Pertussis (Tdap) and Tetanus and Diphtheria (Td) Routine, Catch-up and Booster Dose Vaccine Protocol</dc:title>
  <dc:subject>Tetanus and Diphtheria Toxoids and Acellular Pertussis (Tdap) and Tetanus and Diphtheria (Td) Routine, Catch-up and Booster Dose Vaccine Protocol</dc:subject>
  <dc:creator>Minnesota Dept. of Health</dc:creator>
  <cp:keywords/>
  <dc:description/>
  <cp:lastModifiedBy>Schultz, Tracy (She/Her/Hers) (MDH)</cp:lastModifiedBy>
  <cp:revision>7</cp:revision>
  <cp:lastPrinted>2016-12-14T18:03:00Z</cp:lastPrinted>
  <dcterms:created xsi:type="dcterms:W3CDTF">2023-06-05T14:55:00Z</dcterms:created>
  <dcterms:modified xsi:type="dcterms:W3CDTF">2026-01-15T16:18:00Z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