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A6D2F" w14:textId="77777777" w:rsidR="0014090C" w:rsidRPr="00AD427C" w:rsidRDefault="0014090C" w:rsidP="0014090C">
      <w:pPr>
        <w:pStyle w:val="Heading1"/>
        <w:rPr>
          <w:color w:val="003865" w:themeColor="text1"/>
        </w:rPr>
      </w:pPr>
      <w:r>
        <w:t>Orthopox</w:t>
      </w:r>
      <w:r w:rsidRPr="00AD427C">
        <w:t xml:space="preserve"> </w:t>
      </w:r>
      <w:r w:rsidRPr="4FF46379">
        <w:t>Vaccine Protocol</w:t>
      </w:r>
      <w:r>
        <w:t>: JYNNEOS</w:t>
      </w:r>
    </w:p>
    <w:p w14:paraId="1A56952A" w14:textId="77777777" w:rsidR="00892644" w:rsidRPr="004B3115" w:rsidRDefault="00892644" w:rsidP="00892644">
      <w:pPr>
        <w:pStyle w:val="Subtitle"/>
        <w:rPr>
          <w:color w:val="C00000"/>
        </w:rPr>
      </w:pPr>
      <w:r w:rsidRPr="00AD427C">
        <w:rPr>
          <w:color w:val="003865" w:themeColor="text1"/>
        </w:rPr>
        <w:t xml:space="preserve">vaccine protocol for Persons Age </w:t>
      </w:r>
      <w:r>
        <w:rPr>
          <w:color w:val="003865" w:themeColor="text1"/>
        </w:rPr>
        <w:t>6 months</w:t>
      </w:r>
      <w:r w:rsidRPr="00AD427C">
        <w:rPr>
          <w:color w:val="003865" w:themeColor="text1"/>
        </w:rPr>
        <w:t xml:space="preserve"> and older</w:t>
      </w:r>
    </w:p>
    <w:p w14:paraId="4BAE6FFB" w14:textId="5BF0120D" w:rsidR="000F1FDA" w:rsidRDefault="000F1FDA" w:rsidP="007D53F2">
      <w:r w:rsidRPr="007D53F2">
        <w:rPr>
          <w:b/>
          <w:bCs/>
        </w:rPr>
        <w:t>Document reviewed and updated:</w:t>
      </w:r>
      <w:r>
        <w:t xml:space="preserve"> </w:t>
      </w:r>
      <w:r w:rsidR="0056438C">
        <w:rPr>
          <w:b/>
          <w:bCs/>
          <w:color w:val="C00000"/>
        </w:rPr>
        <w:t>August 26</w:t>
      </w:r>
      <w:r w:rsidR="000A43B5">
        <w:rPr>
          <w:b/>
          <w:bCs/>
          <w:color w:val="C00000"/>
        </w:rPr>
        <w:t>, 2024</w:t>
      </w:r>
    </w:p>
    <w:p w14:paraId="62AA80CC" w14:textId="66043D3E" w:rsidR="000B3E7D" w:rsidRDefault="000B3E7D" w:rsidP="00926635">
      <w:pPr>
        <w:pStyle w:val="Heading2"/>
      </w:pPr>
      <w:r>
        <w:t>Condition for protocol</w:t>
      </w:r>
    </w:p>
    <w:p w14:paraId="1772D3F8" w14:textId="4FDDE290" w:rsidR="00017839" w:rsidRDefault="00017839" w:rsidP="00017839">
      <w:r>
        <w:t>To reduce incidence of morbidity and mortality of</w:t>
      </w:r>
      <w:r w:rsidRPr="00F23356">
        <w:t xml:space="preserve"> </w:t>
      </w:r>
      <w:r>
        <w:t xml:space="preserve">an orthopoxvirus infection, including mpox and </w:t>
      </w:r>
      <w:r w:rsidR="00EC36E3">
        <w:t>s</w:t>
      </w:r>
      <w:r>
        <w:t>mallpox</w:t>
      </w:r>
      <w:r w:rsidRPr="007D53F2">
        <w:rPr>
          <w:color w:val="C00000"/>
        </w:rPr>
        <w:t xml:space="preserve"> </w:t>
      </w:r>
      <w:r>
        <w:t>disease.</w:t>
      </w:r>
    </w:p>
    <w:p w14:paraId="473158AD" w14:textId="77777777" w:rsidR="000B3E7D" w:rsidRDefault="000B3E7D" w:rsidP="000B3E7D">
      <w:pPr>
        <w:pStyle w:val="Heading2"/>
      </w:pPr>
      <w:r>
        <w:t>Policy of protocol</w:t>
      </w:r>
    </w:p>
    <w:p w14:paraId="7B86706A" w14:textId="77777777" w:rsidR="00FB72C1" w:rsidRDefault="00FB72C1" w:rsidP="00FB72C1">
      <w:r>
        <w:t>The nurse will implement this protocol for JYNNEOS vaccine to prevent orthopoxvirus (e.g., mpox/smallpox) infection.</w:t>
      </w:r>
    </w:p>
    <w:p w14:paraId="5AFA5A8B" w14:textId="6C6D28A9" w:rsidR="00EA114D" w:rsidRDefault="00EA114D" w:rsidP="00FB72C1">
      <w:bookmarkStart w:id="0" w:name="_Hlk216418560"/>
      <w:r w:rsidRPr="00EA114D">
        <w:t>The indications for vaccination are based on recommendations from the American Academy of Pediatrics (AAP) and the American Academy of Family Physicians (AAFP).</w:t>
      </w:r>
      <w:bookmarkEnd w:id="0"/>
    </w:p>
    <w:p w14:paraId="3856B515" w14:textId="77777777" w:rsidR="000B3E7D" w:rsidRDefault="000B3E7D" w:rsidP="000B3E7D">
      <w:pPr>
        <w:pStyle w:val="Heading2"/>
      </w:pPr>
      <w:r>
        <w:t>Condition-specific criteria and prescribed actions</w:t>
      </w:r>
    </w:p>
    <w:p w14:paraId="66CD507C" w14:textId="4DAE5A13" w:rsidR="004061AA" w:rsidRPr="007D53F2" w:rsidRDefault="004061AA" w:rsidP="007D53F2">
      <w:pPr>
        <w:rPr>
          <w:bCs/>
          <w:color w:val="C00000"/>
        </w:rPr>
      </w:pPr>
      <w:r w:rsidRPr="007D53F2">
        <w:rPr>
          <w:b/>
          <w:bCs/>
          <w:color w:val="C00000"/>
        </w:rPr>
        <w:t xml:space="preserve">Delete this </w:t>
      </w:r>
      <w:r w:rsidR="0024538F" w:rsidRPr="007D53F2">
        <w:rPr>
          <w:b/>
          <w:bCs/>
          <w:color w:val="C00000"/>
        </w:rPr>
        <w:t xml:space="preserve">entire </w:t>
      </w:r>
      <w:r w:rsidRPr="007D53F2">
        <w:rPr>
          <w:b/>
          <w:bCs/>
          <w:color w:val="C00000"/>
        </w:rPr>
        <w:t xml:space="preserve">paragraph before </w:t>
      </w:r>
      <w:r w:rsidR="00DE784B" w:rsidRPr="007D53F2">
        <w:rPr>
          <w:b/>
          <w:bCs/>
          <w:color w:val="C00000"/>
        </w:rPr>
        <w:t>printing/</w:t>
      </w:r>
      <w:r w:rsidRPr="007D53F2">
        <w:rPr>
          <w:b/>
          <w:bCs/>
          <w:color w:val="C00000"/>
        </w:rPr>
        <w:t>signing protocol</w:t>
      </w:r>
      <w:r w:rsidR="008C3BED" w:rsidRPr="007D53F2">
        <w:rPr>
          <w:b/>
          <w:bCs/>
          <w:color w:val="C00000"/>
        </w:rPr>
        <w:t>.</w:t>
      </w:r>
    </w:p>
    <w:p w14:paraId="716DA5DE" w14:textId="3E78671C" w:rsidR="000B3E7D" w:rsidRDefault="33665C2D" w:rsidP="00066679">
      <w:pPr>
        <w:pStyle w:val="NormalLtBlueBackground"/>
      </w:pPr>
      <w:r>
        <w:t>[Instructions for persons adopting these protocols: The table below lists indication, contraindication, and precaution criteria and suggested prescribed actions that are necessary to implement the vaccine protocol. The prescribed actio</w:t>
      </w:r>
      <w:r w:rsidR="74ADC5E8">
        <w:t xml:space="preserve">ns include examples shown in </w:t>
      </w:r>
      <w:r w:rsidR="39A244AC">
        <w:t>brackets but</w:t>
      </w:r>
      <w:r>
        <w:t xml:space="preserve"> may not suit your institution’s clinical situation and may not include all possible actions. A licensed prescriber must review the criteria and actions and determine the appropriate prescribing action.]</w:t>
      </w:r>
    </w:p>
    <w:p w14:paraId="16811B2E" w14:textId="77777777" w:rsidR="000B3E7D" w:rsidRDefault="000B3E7D" w:rsidP="0015567C">
      <w:pPr>
        <w:pStyle w:val="TableorChartTitle"/>
        <w:jc w:val="left"/>
      </w:pPr>
      <w:r>
        <w:t>Indications</w:t>
      </w:r>
    </w:p>
    <w:tbl>
      <w:tblPr>
        <w:tblStyle w:val="MDHstyle"/>
        <w:tblpPr w:leftFromText="180" w:rightFromText="180" w:vertAnchor="text" w:tblpY="1"/>
        <w:tblOverlap w:val="never"/>
        <w:tblW w:w="10527" w:type="dxa"/>
        <w:tblLook w:val="04A0" w:firstRow="1" w:lastRow="0" w:firstColumn="1" w:lastColumn="0" w:noHBand="0" w:noVBand="1"/>
      </w:tblPr>
      <w:tblGrid>
        <w:gridCol w:w="5128"/>
        <w:gridCol w:w="5399"/>
      </w:tblGrid>
      <w:tr w:rsidR="0015567C" w:rsidRPr="008E470A" w14:paraId="2B9A7AB7" w14:textId="77777777" w:rsidTr="002B4203">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5128" w:type="dxa"/>
          </w:tcPr>
          <w:p w14:paraId="71FC6BFB" w14:textId="77777777" w:rsidR="0015567C" w:rsidRPr="008E470A" w:rsidRDefault="0015567C" w:rsidP="00C944BE">
            <w:pPr>
              <w:pStyle w:val="TableText-calibri10"/>
            </w:pPr>
            <w:r w:rsidRPr="008E470A">
              <w:t>Criteria</w:t>
            </w:r>
          </w:p>
        </w:tc>
        <w:tc>
          <w:tcPr>
            <w:tcW w:w="5399" w:type="dxa"/>
          </w:tcPr>
          <w:p w14:paraId="7BC765D4" w14:textId="77777777" w:rsidR="0015567C" w:rsidRPr="008E470A" w:rsidRDefault="0015567C" w:rsidP="00C944BE">
            <w:pPr>
              <w:pStyle w:val="TableText-calibri10"/>
              <w:cnfStyle w:val="100000000000" w:firstRow="1" w:lastRow="0" w:firstColumn="0" w:lastColumn="0" w:oddVBand="0" w:evenVBand="0" w:oddHBand="0" w:evenHBand="0" w:firstRowFirstColumn="0" w:firstRowLastColumn="0" w:lastRowFirstColumn="0" w:lastRowLastColumn="0"/>
            </w:pPr>
            <w:r w:rsidRPr="008E470A">
              <w:t>Prescribed action</w:t>
            </w:r>
          </w:p>
        </w:tc>
      </w:tr>
      <w:tr w:rsidR="00A04A25" w:rsidRPr="008E470A" w14:paraId="20DE80C1" w14:textId="77777777" w:rsidTr="002B420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128" w:type="dxa"/>
          </w:tcPr>
          <w:p w14:paraId="60628C54" w14:textId="74B6848B" w:rsidR="00A04A25" w:rsidRPr="008E470A" w:rsidRDefault="00A04A25" w:rsidP="00C944BE">
            <w:pPr>
              <w:pStyle w:val="TableText-calibri10"/>
            </w:pPr>
            <w:r w:rsidRPr="0A382ED7">
              <w:rPr>
                <w:rFonts w:asciiTheme="minorHAnsi" w:hAnsiTheme="minorHAnsi"/>
              </w:rPr>
              <w:t>Person is</w:t>
            </w:r>
            <w:r>
              <w:rPr>
                <w:rFonts w:asciiTheme="minorHAnsi" w:hAnsiTheme="minorHAnsi"/>
              </w:rPr>
              <w:t xml:space="preserve"> 6 months of age or older </w:t>
            </w:r>
            <w:r w:rsidRPr="0A382ED7">
              <w:rPr>
                <w:rFonts w:asciiTheme="minorHAnsi" w:hAnsiTheme="minorHAnsi"/>
              </w:rPr>
              <w:t>and has no acute illness.</w:t>
            </w:r>
          </w:p>
        </w:tc>
        <w:tc>
          <w:tcPr>
            <w:tcW w:w="5399" w:type="dxa"/>
          </w:tcPr>
          <w:p w14:paraId="3FAE6827" w14:textId="37EBC85C" w:rsidR="00A04A25" w:rsidRPr="00A04A25" w:rsidRDefault="00A04A25" w:rsidP="00C944BE">
            <w:pPr>
              <w:pStyle w:val="TableText-calibri1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27C13">
              <w:rPr>
                <w:rFonts w:asciiTheme="minorHAnsi" w:hAnsiTheme="minorHAnsi" w:cstheme="minorHAnsi"/>
              </w:rPr>
              <w:t>Proceed to vaccinate</w:t>
            </w:r>
            <w:r>
              <w:rPr>
                <w:rFonts w:asciiTheme="minorHAnsi" w:hAnsiTheme="minorHAnsi" w:cstheme="minorHAnsi"/>
              </w:rPr>
              <w:t xml:space="preserve"> if meets remaining criteria.</w:t>
            </w:r>
          </w:p>
        </w:tc>
      </w:tr>
      <w:tr w:rsidR="00A04A25" w:rsidRPr="008E470A" w14:paraId="1A515FE4" w14:textId="77777777" w:rsidTr="002B4203">
        <w:trPr>
          <w:trHeight w:val="285"/>
        </w:trPr>
        <w:tc>
          <w:tcPr>
            <w:cnfStyle w:val="001000000000" w:firstRow="0" w:lastRow="0" w:firstColumn="1" w:lastColumn="0" w:oddVBand="0" w:evenVBand="0" w:oddHBand="0" w:evenHBand="0" w:firstRowFirstColumn="0" w:firstRowLastColumn="0" w:lastRowFirstColumn="0" w:lastRowLastColumn="0"/>
            <w:tcW w:w="5128" w:type="dxa"/>
          </w:tcPr>
          <w:p w14:paraId="12FE24C3" w14:textId="202C56DA" w:rsidR="00A04A25" w:rsidRPr="008E470A" w:rsidRDefault="00A04A25" w:rsidP="00C944BE">
            <w:pPr>
              <w:pStyle w:val="TableText-calibri10"/>
            </w:pPr>
            <w:r>
              <w:rPr>
                <w:rFonts w:asciiTheme="minorHAnsi" w:hAnsiTheme="minorHAnsi" w:cstheme="minorHAnsi"/>
              </w:rPr>
              <w:t>Person is under 6 months of age.</w:t>
            </w:r>
          </w:p>
        </w:tc>
        <w:tc>
          <w:tcPr>
            <w:tcW w:w="5399" w:type="dxa"/>
          </w:tcPr>
          <w:p w14:paraId="3AD50C9B" w14:textId="600C9CD2" w:rsidR="00A04A25" w:rsidRPr="008E470A" w:rsidRDefault="00A04A25" w:rsidP="00C944BE">
            <w:pPr>
              <w:pStyle w:val="TableText-calibri10"/>
              <w:jc w:val="left"/>
              <w:cnfStyle w:val="000000000000" w:firstRow="0" w:lastRow="0" w:firstColumn="0" w:lastColumn="0" w:oddVBand="0" w:evenVBand="0" w:oddHBand="0" w:evenHBand="0" w:firstRowFirstColumn="0" w:firstRowLastColumn="0" w:lastRowFirstColumn="0" w:lastRowLastColumn="0"/>
            </w:pPr>
            <w:r>
              <w:rPr>
                <w:rFonts w:asciiTheme="minorHAnsi" w:hAnsiTheme="minorHAnsi" w:cstheme="minorHAnsi"/>
              </w:rPr>
              <w:t xml:space="preserve">Refer to primary care provider for assessment of risks and benefits.  Contact MDH or CDC for consultation on post-exposure prophylaxis (PEP), immune globulin, or antiviral medications. </w:t>
            </w:r>
          </w:p>
        </w:tc>
      </w:tr>
      <w:tr w:rsidR="00A04A25" w:rsidRPr="008E470A" w14:paraId="65042057" w14:textId="77777777" w:rsidTr="002B420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128" w:type="dxa"/>
            <w:vAlign w:val="top"/>
          </w:tcPr>
          <w:p w14:paraId="3ED86F8A" w14:textId="5EE903E5" w:rsidR="00A04A25" w:rsidRPr="008E470A" w:rsidRDefault="00A04A25" w:rsidP="00C944BE">
            <w:pPr>
              <w:pStyle w:val="TableText-calibri10"/>
            </w:pPr>
            <w:r w:rsidRPr="00527C13">
              <w:rPr>
                <w:rFonts w:asciiTheme="minorHAnsi" w:hAnsiTheme="minorHAnsi" w:cstheme="minorHAnsi"/>
              </w:rPr>
              <w:t xml:space="preserve">Person is identified as needing </w:t>
            </w:r>
            <w:r>
              <w:rPr>
                <w:rFonts w:asciiTheme="minorHAnsi" w:hAnsiTheme="minorHAnsi" w:cstheme="minorHAnsi"/>
              </w:rPr>
              <w:t>JYNNEOS</w:t>
            </w:r>
            <w:r w:rsidRPr="00527C13">
              <w:rPr>
                <w:rFonts w:asciiTheme="minorHAnsi" w:hAnsiTheme="minorHAnsi" w:cstheme="minorHAnsi"/>
              </w:rPr>
              <w:t xml:space="preserve"> vaccination based on exposure to an individual with an orthopoxvirus infection (i.e., </w:t>
            </w:r>
            <w:r>
              <w:rPr>
                <w:rFonts w:asciiTheme="minorHAnsi" w:hAnsiTheme="minorHAnsi" w:cstheme="minorHAnsi"/>
              </w:rPr>
              <w:t>mpox</w:t>
            </w:r>
            <w:r w:rsidRPr="00527C13">
              <w:rPr>
                <w:rFonts w:asciiTheme="minorHAnsi" w:hAnsiTheme="minorHAnsi" w:cstheme="minorHAnsi"/>
              </w:rPr>
              <w:t>).</w:t>
            </w:r>
          </w:p>
        </w:tc>
        <w:tc>
          <w:tcPr>
            <w:tcW w:w="5399" w:type="dxa"/>
          </w:tcPr>
          <w:p w14:paraId="103BE670" w14:textId="2C475FB4" w:rsidR="00A04A25" w:rsidRPr="008E470A" w:rsidRDefault="00A04A25" w:rsidP="00C944BE">
            <w:pPr>
              <w:pStyle w:val="TableText-calibri10"/>
              <w:jc w:val="left"/>
              <w:cnfStyle w:val="000000100000" w:firstRow="0" w:lastRow="0" w:firstColumn="0" w:lastColumn="0" w:oddVBand="0" w:evenVBand="0" w:oddHBand="1" w:evenHBand="0" w:firstRowFirstColumn="0" w:firstRowLastColumn="0" w:lastRowFirstColumn="0" w:lastRowLastColumn="0"/>
            </w:pPr>
            <w:r>
              <w:rPr>
                <w:rFonts w:asciiTheme="minorHAnsi" w:hAnsiTheme="minorHAnsi" w:cstheme="minorHAnsi"/>
              </w:rPr>
              <w:t>Proceed to vaccinate.</w:t>
            </w:r>
          </w:p>
        </w:tc>
      </w:tr>
      <w:tr w:rsidR="00A04A25" w:rsidRPr="008E470A" w14:paraId="1771755D" w14:textId="77777777" w:rsidTr="002B4203">
        <w:trPr>
          <w:trHeight w:val="285"/>
        </w:trPr>
        <w:tc>
          <w:tcPr>
            <w:cnfStyle w:val="001000000000" w:firstRow="0" w:lastRow="0" w:firstColumn="1" w:lastColumn="0" w:oddVBand="0" w:evenVBand="0" w:oddHBand="0" w:evenHBand="0" w:firstRowFirstColumn="0" w:firstRowLastColumn="0" w:lastRowFirstColumn="0" w:lastRowLastColumn="0"/>
            <w:tcW w:w="5128" w:type="dxa"/>
          </w:tcPr>
          <w:p w14:paraId="45CBD60D" w14:textId="76B03830" w:rsidR="00A04A25" w:rsidRPr="00527C13" w:rsidRDefault="00A04A25" w:rsidP="00C944BE">
            <w:pPr>
              <w:pStyle w:val="TableText-calibri10"/>
              <w:rPr>
                <w:rFonts w:asciiTheme="minorHAnsi" w:hAnsiTheme="minorHAnsi" w:cstheme="minorHAnsi"/>
              </w:rPr>
            </w:pPr>
            <w:r>
              <w:rPr>
                <w:rFonts w:asciiTheme="minorHAnsi" w:hAnsiTheme="minorHAnsi" w:cstheme="minorHAnsi"/>
              </w:rPr>
              <w:t>Person is identified as needing JYNNEOS vaccination based on high-risk potential for exposure.</w:t>
            </w:r>
          </w:p>
        </w:tc>
        <w:tc>
          <w:tcPr>
            <w:tcW w:w="5399" w:type="dxa"/>
          </w:tcPr>
          <w:p w14:paraId="37DF955A" w14:textId="61688D9C" w:rsidR="00A04A25" w:rsidRDefault="00A04A25" w:rsidP="00C944BE">
            <w:pPr>
              <w:pStyle w:val="TableText-calibri1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Proceed to vaccinate.</w:t>
            </w:r>
          </w:p>
        </w:tc>
      </w:tr>
      <w:tr w:rsidR="00A04A25" w:rsidRPr="008E470A" w14:paraId="024E242D" w14:textId="77777777" w:rsidTr="002B420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128" w:type="dxa"/>
          </w:tcPr>
          <w:p w14:paraId="39B8A68E" w14:textId="0ACE7E09" w:rsidR="00A04A25" w:rsidRDefault="00A04A25" w:rsidP="00C944BE">
            <w:pPr>
              <w:pStyle w:val="TableText-calibri10"/>
              <w:rPr>
                <w:rFonts w:asciiTheme="minorHAnsi" w:hAnsiTheme="minorHAnsi" w:cstheme="minorHAnsi"/>
              </w:rPr>
            </w:pPr>
            <w:r w:rsidRPr="00527C13">
              <w:rPr>
                <w:rFonts w:asciiTheme="minorHAnsi" w:hAnsiTheme="minorHAnsi" w:cstheme="minorHAnsi"/>
              </w:rPr>
              <w:t>Person is immunocompromised.</w:t>
            </w:r>
          </w:p>
        </w:tc>
        <w:tc>
          <w:tcPr>
            <w:tcW w:w="5399" w:type="dxa"/>
          </w:tcPr>
          <w:p w14:paraId="7BDA5725" w14:textId="2EC5CEC7" w:rsidR="00A04A25" w:rsidRDefault="00A04A25" w:rsidP="00C944BE">
            <w:pPr>
              <w:pStyle w:val="TableText-calibri1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27C13">
              <w:rPr>
                <w:rFonts w:asciiTheme="minorHAnsi" w:hAnsiTheme="minorHAnsi" w:cstheme="minorHAnsi"/>
              </w:rPr>
              <w:t>Proceed to vaccinate. Counsel person they may have a diminished response.</w:t>
            </w:r>
          </w:p>
        </w:tc>
      </w:tr>
      <w:tr w:rsidR="00A04A25" w:rsidRPr="008E470A" w14:paraId="4A85641E" w14:textId="77777777" w:rsidTr="002B4203">
        <w:trPr>
          <w:trHeight w:val="285"/>
        </w:trPr>
        <w:tc>
          <w:tcPr>
            <w:cnfStyle w:val="001000000000" w:firstRow="0" w:lastRow="0" w:firstColumn="1" w:lastColumn="0" w:oddVBand="0" w:evenVBand="0" w:oddHBand="0" w:evenHBand="0" w:firstRowFirstColumn="0" w:firstRowLastColumn="0" w:lastRowFirstColumn="0" w:lastRowLastColumn="0"/>
            <w:tcW w:w="5128" w:type="dxa"/>
          </w:tcPr>
          <w:p w14:paraId="7A5EBBA5" w14:textId="77777777" w:rsidR="00A04A25" w:rsidRPr="00527C13" w:rsidRDefault="00A04A25" w:rsidP="00C944BE">
            <w:pPr>
              <w:pStyle w:val="TableText-calibri10"/>
              <w:rPr>
                <w:rFonts w:asciiTheme="minorHAnsi" w:hAnsiTheme="minorHAnsi" w:cstheme="minorHAnsi"/>
              </w:rPr>
            </w:pPr>
            <w:r w:rsidRPr="00527C13">
              <w:rPr>
                <w:rFonts w:asciiTheme="minorHAnsi" w:hAnsiTheme="minorHAnsi" w:cstheme="minorHAnsi"/>
              </w:rPr>
              <w:t xml:space="preserve">Person falls into one of the following categories of immunocompromise and diagnosed with </w:t>
            </w:r>
            <w:r>
              <w:rPr>
                <w:rFonts w:asciiTheme="minorHAnsi" w:hAnsiTheme="minorHAnsi" w:cstheme="minorHAnsi"/>
              </w:rPr>
              <w:t>mpox</w:t>
            </w:r>
            <w:r w:rsidRPr="00527C13">
              <w:rPr>
                <w:rFonts w:asciiTheme="minorHAnsi" w:hAnsiTheme="minorHAnsi" w:cstheme="minorHAnsi"/>
              </w:rPr>
              <w:t xml:space="preserve"> virus infection before their first dose of </w:t>
            </w:r>
            <w:r>
              <w:rPr>
                <w:rFonts w:asciiTheme="minorHAnsi" w:hAnsiTheme="minorHAnsi" w:cstheme="minorHAnsi"/>
              </w:rPr>
              <w:t>JYNNEOS</w:t>
            </w:r>
            <w:r w:rsidRPr="00527C13">
              <w:rPr>
                <w:rFonts w:asciiTheme="minorHAnsi" w:hAnsiTheme="minorHAnsi" w:cstheme="minorHAnsi"/>
              </w:rPr>
              <w:t xml:space="preserve"> vaccine:</w:t>
            </w:r>
          </w:p>
          <w:p w14:paraId="1F51A699" w14:textId="77777777" w:rsidR="00A04A25" w:rsidRPr="00C34F69" w:rsidRDefault="00A04A25" w:rsidP="00C944BE">
            <w:pPr>
              <w:pStyle w:val="ListBullet"/>
              <w:spacing w:before="0" w:after="0"/>
              <w:rPr>
                <w:sz w:val="20"/>
                <w:szCs w:val="20"/>
              </w:rPr>
            </w:pPr>
            <w:r w:rsidRPr="00C34F69">
              <w:rPr>
                <w:sz w:val="20"/>
                <w:szCs w:val="20"/>
              </w:rPr>
              <w:t>Leukemia</w:t>
            </w:r>
          </w:p>
          <w:p w14:paraId="1A710696" w14:textId="77777777" w:rsidR="00A04A25" w:rsidRPr="00C34F69" w:rsidRDefault="00A04A25" w:rsidP="00C944BE">
            <w:pPr>
              <w:pStyle w:val="ListBullet"/>
              <w:spacing w:before="0" w:after="0"/>
              <w:rPr>
                <w:sz w:val="20"/>
                <w:szCs w:val="20"/>
              </w:rPr>
            </w:pPr>
            <w:r w:rsidRPr="00C34F69">
              <w:rPr>
                <w:sz w:val="20"/>
                <w:szCs w:val="20"/>
              </w:rPr>
              <w:t>Lymphoma</w:t>
            </w:r>
          </w:p>
          <w:p w14:paraId="7D167B82" w14:textId="77777777" w:rsidR="00A04A25" w:rsidRPr="00C34F69" w:rsidRDefault="00A04A25" w:rsidP="00C944BE">
            <w:pPr>
              <w:pStyle w:val="ListBullet"/>
              <w:spacing w:before="0" w:after="0"/>
              <w:rPr>
                <w:sz w:val="20"/>
                <w:szCs w:val="20"/>
              </w:rPr>
            </w:pPr>
            <w:r w:rsidRPr="00C34F69">
              <w:rPr>
                <w:sz w:val="20"/>
                <w:szCs w:val="20"/>
              </w:rPr>
              <w:t>Generalized malignancy</w:t>
            </w:r>
          </w:p>
          <w:p w14:paraId="628D3451" w14:textId="77777777" w:rsidR="00A04A25" w:rsidRPr="00C34F69" w:rsidRDefault="00A04A25" w:rsidP="00C944BE">
            <w:pPr>
              <w:pStyle w:val="ListBullet"/>
              <w:spacing w:before="0" w:after="0"/>
              <w:rPr>
                <w:sz w:val="20"/>
                <w:szCs w:val="20"/>
              </w:rPr>
            </w:pPr>
            <w:r w:rsidRPr="00C34F69">
              <w:rPr>
                <w:sz w:val="20"/>
                <w:szCs w:val="20"/>
              </w:rPr>
              <w:t>Solid organ transplantation</w:t>
            </w:r>
          </w:p>
          <w:p w14:paraId="5E1CFEA3" w14:textId="77777777" w:rsidR="00A04A25" w:rsidRPr="00C34F69" w:rsidRDefault="00A04A25" w:rsidP="00C944BE">
            <w:pPr>
              <w:pStyle w:val="ListBullet"/>
              <w:spacing w:before="0" w:after="0"/>
              <w:rPr>
                <w:sz w:val="20"/>
                <w:szCs w:val="20"/>
              </w:rPr>
            </w:pPr>
            <w:r w:rsidRPr="00C34F69">
              <w:rPr>
                <w:sz w:val="20"/>
                <w:szCs w:val="20"/>
              </w:rPr>
              <w:t>Therapy with alkylating agents, antimetabolites, radiation, tumor necrosis factor inhibitors</w:t>
            </w:r>
          </w:p>
          <w:p w14:paraId="19618CAF" w14:textId="77777777" w:rsidR="00A04A25" w:rsidRPr="00C34F69" w:rsidRDefault="00A04A25" w:rsidP="00C944BE">
            <w:pPr>
              <w:pStyle w:val="ListBullet"/>
              <w:spacing w:before="0" w:after="0"/>
              <w:rPr>
                <w:sz w:val="20"/>
                <w:szCs w:val="20"/>
              </w:rPr>
            </w:pPr>
            <w:r w:rsidRPr="00C34F69">
              <w:rPr>
                <w:sz w:val="20"/>
                <w:szCs w:val="20"/>
              </w:rPr>
              <w:lastRenderedPageBreak/>
              <w:t>High-dose corticosteroids</w:t>
            </w:r>
          </w:p>
          <w:p w14:paraId="75F881CD" w14:textId="4E5EC467" w:rsidR="00A04A25" w:rsidRPr="00C34F69" w:rsidRDefault="00A04A25" w:rsidP="00C944BE">
            <w:pPr>
              <w:pStyle w:val="ListBullet"/>
              <w:spacing w:before="0" w:after="0"/>
              <w:rPr>
                <w:rFonts w:asciiTheme="minorHAnsi" w:hAnsiTheme="minorHAnsi" w:cstheme="minorHAnsi"/>
                <w:sz w:val="20"/>
                <w:szCs w:val="20"/>
              </w:rPr>
            </w:pPr>
            <w:r w:rsidRPr="00C34F69">
              <w:rPr>
                <w:sz w:val="20"/>
                <w:szCs w:val="20"/>
              </w:rPr>
              <w:t>Being a recipient with hematopoietic stem cell transplant &lt;24 months post-transplant or ≥24 months but with graft-versus-host disease or disease relapse, or having autoimmune disease with immunodeficiency as a clinical component</w:t>
            </w:r>
          </w:p>
        </w:tc>
        <w:tc>
          <w:tcPr>
            <w:tcW w:w="5399" w:type="dxa"/>
          </w:tcPr>
          <w:p w14:paraId="24A1916A" w14:textId="77777777" w:rsidR="00A04A25" w:rsidRPr="00527C13" w:rsidRDefault="00A04A25" w:rsidP="00C944BE">
            <w:pPr>
              <w:pStyle w:val="TableText-calibri1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27C13">
              <w:rPr>
                <w:rFonts w:asciiTheme="minorHAnsi" w:hAnsiTheme="minorHAnsi" w:cstheme="minorHAnsi"/>
              </w:rPr>
              <w:lastRenderedPageBreak/>
              <w:t xml:space="preserve">Proceed to vaccinate after counseling the individual about: </w:t>
            </w:r>
          </w:p>
          <w:p w14:paraId="65545BDC" w14:textId="24EF0797" w:rsidR="00A04A25" w:rsidRPr="00C34F69" w:rsidRDefault="00A04A25" w:rsidP="00C944BE">
            <w:pPr>
              <w:pStyle w:val="ListNumber"/>
              <w:spacing w:before="0" w:after="0"/>
              <w:jc w:val="left"/>
              <w:cnfStyle w:val="000000000000" w:firstRow="0" w:lastRow="0" w:firstColumn="0" w:lastColumn="0" w:oddVBand="0" w:evenVBand="0" w:oddHBand="0" w:evenHBand="0" w:firstRowFirstColumn="0" w:firstRowLastColumn="0" w:lastRowFirstColumn="0" w:lastRowLastColumn="0"/>
              <w:rPr>
                <w:sz w:val="20"/>
                <w:szCs w:val="20"/>
              </w:rPr>
            </w:pPr>
            <w:r w:rsidRPr="00C34F69">
              <w:rPr>
                <w:sz w:val="20"/>
                <w:szCs w:val="20"/>
              </w:rPr>
              <w:t xml:space="preserve">The potential for reduced immune responses. </w:t>
            </w:r>
          </w:p>
          <w:p w14:paraId="7054E448" w14:textId="632ECB95" w:rsidR="00A04A25" w:rsidRPr="00C34F69" w:rsidRDefault="00A04A25" w:rsidP="00C944BE">
            <w:pPr>
              <w:pStyle w:val="ListNumber"/>
              <w:spacing w:before="0" w:after="0"/>
              <w:jc w:val="left"/>
              <w:cnfStyle w:val="000000000000" w:firstRow="0" w:lastRow="0" w:firstColumn="0" w:lastColumn="0" w:oddVBand="0" w:evenVBand="0" w:oddHBand="0" w:evenHBand="0" w:firstRowFirstColumn="0" w:firstRowLastColumn="0" w:lastRowFirstColumn="0" w:lastRowLastColumn="0"/>
              <w:rPr>
                <w:sz w:val="20"/>
                <w:szCs w:val="20"/>
              </w:rPr>
            </w:pPr>
            <w:r w:rsidRPr="00C34F69">
              <w:rPr>
                <w:sz w:val="20"/>
                <w:szCs w:val="20"/>
              </w:rPr>
              <w:t xml:space="preserve">The need to continue to follow current guidance to protect themselves. </w:t>
            </w:r>
          </w:p>
          <w:p w14:paraId="59988078" w14:textId="3054DD79" w:rsidR="00A04A25" w:rsidRPr="00527C13" w:rsidRDefault="00A04A25" w:rsidP="00C944BE">
            <w:pPr>
              <w:pStyle w:val="ListNumber"/>
              <w:spacing w:before="0"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34F69">
              <w:rPr>
                <w:sz w:val="20"/>
                <w:szCs w:val="20"/>
              </w:rPr>
              <w:t>The risks of mpox are greater than the risks from mpox vaccination.</w:t>
            </w:r>
          </w:p>
        </w:tc>
      </w:tr>
      <w:tr w:rsidR="00A04A25" w:rsidRPr="008E470A" w14:paraId="637A89EA" w14:textId="77777777" w:rsidTr="002B420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128" w:type="dxa"/>
          </w:tcPr>
          <w:p w14:paraId="63BC3721" w14:textId="6F09CCB1" w:rsidR="00A04A25" w:rsidRPr="00527C13" w:rsidRDefault="00A04A25" w:rsidP="00C944BE">
            <w:pPr>
              <w:pStyle w:val="TableText-calibri10"/>
              <w:rPr>
                <w:rFonts w:asciiTheme="minorHAnsi" w:hAnsiTheme="minorHAnsi" w:cstheme="minorHAnsi"/>
              </w:rPr>
            </w:pPr>
            <w:r w:rsidRPr="00527C13">
              <w:rPr>
                <w:rFonts w:asciiTheme="minorHAnsi" w:hAnsiTheme="minorHAnsi" w:cstheme="minorHAnsi"/>
              </w:rPr>
              <w:t xml:space="preserve">Person is immunocompetent and diagnosed with </w:t>
            </w:r>
            <w:r>
              <w:rPr>
                <w:rFonts w:asciiTheme="minorHAnsi" w:hAnsiTheme="minorHAnsi" w:cstheme="minorHAnsi"/>
              </w:rPr>
              <w:t>mpox</w:t>
            </w:r>
            <w:r w:rsidRPr="00527C13">
              <w:rPr>
                <w:rFonts w:asciiTheme="minorHAnsi" w:hAnsiTheme="minorHAnsi" w:cstheme="minorHAnsi"/>
              </w:rPr>
              <w:t xml:space="preserve"> virus infection during the current </w:t>
            </w:r>
            <w:r>
              <w:rPr>
                <w:rFonts w:asciiTheme="minorHAnsi" w:hAnsiTheme="minorHAnsi" w:cstheme="minorHAnsi"/>
              </w:rPr>
              <w:t>mpox</w:t>
            </w:r>
            <w:r w:rsidRPr="00527C13">
              <w:rPr>
                <w:rFonts w:asciiTheme="minorHAnsi" w:hAnsiTheme="minorHAnsi" w:cstheme="minorHAnsi"/>
              </w:rPr>
              <w:t xml:space="preserve"> outbreak before or after their first dose of </w:t>
            </w:r>
            <w:r>
              <w:rPr>
                <w:rFonts w:asciiTheme="minorHAnsi" w:hAnsiTheme="minorHAnsi" w:cstheme="minorHAnsi"/>
              </w:rPr>
              <w:t>JYNNEOS</w:t>
            </w:r>
            <w:r w:rsidRPr="00527C13">
              <w:rPr>
                <w:rFonts w:asciiTheme="minorHAnsi" w:hAnsiTheme="minorHAnsi" w:cstheme="minorHAnsi"/>
              </w:rPr>
              <w:t xml:space="preserve"> vaccine.</w:t>
            </w:r>
          </w:p>
        </w:tc>
        <w:tc>
          <w:tcPr>
            <w:tcW w:w="5399" w:type="dxa"/>
          </w:tcPr>
          <w:p w14:paraId="469BD656" w14:textId="65FE97B6" w:rsidR="00A04A25" w:rsidRPr="00527C13" w:rsidRDefault="00A04A25" w:rsidP="00C944BE">
            <w:pPr>
              <w:pStyle w:val="TableText-calibri1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27C13">
              <w:rPr>
                <w:rFonts w:asciiTheme="minorHAnsi" w:hAnsiTheme="minorHAnsi" w:cstheme="minorHAnsi"/>
              </w:rPr>
              <w:t>Vaccination is unnecessary at this time. Counsel person that recent infection likely confers additional immune protection.</w:t>
            </w:r>
          </w:p>
        </w:tc>
      </w:tr>
      <w:tr w:rsidR="00A04A25" w:rsidRPr="008E470A" w14:paraId="3A137B82" w14:textId="77777777" w:rsidTr="002B4203">
        <w:trPr>
          <w:trHeight w:val="285"/>
        </w:trPr>
        <w:tc>
          <w:tcPr>
            <w:cnfStyle w:val="001000000000" w:firstRow="0" w:lastRow="0" w:firstColumn="1" w:lastColumn="0" w:oddVBand="0" w:evenVBand="0" w:oddHBand="0" w:evenHBand="0" w:firstRowFirstColumn="0" w:firstRowLastColumn="0" w:lastRowFirstColumn="0" w:lastRowLastColumn="0"/>
            <w:tcW w:w="5128" w:type="dxa"/>
          </w:tcPr>
          <w:p w14:paraId="47057A2F" w14:textId="1875F83B" w:rsidR="00A04A25" w:rsidRDefault="00A04A25" w:rsidP="00C944BE">
            <w:pPr>
              <w:pStyle w:val="TableText-calibri10"/>
              <w:rPr>
                <w:rFonts w:asciiTheme="minorHAnsi" w:hAnsiTheme="minorHAnsi" w:cstheme="minorHAnsi"/>
                <w:szCs w:val="20"/>
              </w:rPr>
            </w:pPr>
            <w:r>
              <w:rPr>
                <w:rFonts w:asciiTheme="minorHAnsi" w:hAnsiTheme="minorHAnsi" w:cstheme="minorHAnsi"/>
              </w:rPr>
              <w:t>R</w:t>
            </w:r>
            <w:r w:rsidRPr="00527C13">
              <w:rPr>
                <w:rFonts w:asciiTheme="minorHAnsi" w:hAnsiTheme="minorHAnsi" w:cstheme="minorHAnsi"/>
                <w:bCs w:val="0"/>
              </w:rPr>
              <w:t>esearch or clinical laboratory personnel</w:t>
            </w:r>
            <w:r w:rsidRPr="00527C13">
              <w:rPr>
                <w:rFonts w:asciiTheme="minorHAnsi" w:hAnsiTheme="minorHAnsi" w:cstheme="minorHAnsi"/>
              </w:rPr>
              <w:t xml:space="preserve"> </w:t>
            </w:r>
            <w:r>
              <w:rPr>
                <w:rFonts w:asciiTheme="minorHAnsi" w:hAnsiTheme="minorHAnsi" w:cstheme="minorHAnsi"/>
              </w:rPr>
              <w:t xml:space="preserve">working with orthopoxviruses or </w:t>
            </w:r>
            <w:r w:rsidRPr="00527C13">
              <w:rPr>
                <w:rFonts w:asciiTheme="minorHAnsi" w:hAnsiTheme="minorHAnsi" w:cstheme="minorHAnsi"/>
              </w:rPr>
              <w:t>performing diagnostic testing for orthopoxviruses.</w:t>
            </w:r>
          </w:p>
        </w:tc>
        <w:tc>
          <w:tcPr>
            <w:tcW w:w="5399" w:type="dxa"/>
          </w:tcPr>
          <w:p w14:paraId="382D39E9" w14:textId="00C0A649" w:rsidR="00A04A25" w:rsidRPr="0043704D" w:rsidRDefault="00A04A25" w:rsidP="00C944BE">
            <w:pPr>
              <w:pStyle w:val="TableText-calibri1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27C13">
              <w:rPr>
                <w:rFonts w:asciiTheme="minorHAnsi" w:hAnsiTheme="minorHAnsi" w:cstheme="minorHAnsi"/>
              </w:rPr>
              <w:t>Proceed to vaccinate.</w:t>
            </w:r>
          </w:p>
        </w:tc>
      </w:tr>
      <w:tr w:rsidR="00A04A25" w:rsidRPr="008E470A" w14:paraId="7B0958A9" w14:textId="77777777" w:rsidTr="002B420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128" w:type="dxa"/>
          </w:tcPr>
          <w:p w14:paraId="1FAB96D1" w14:textId="751E485B" w:rsidR="00A04A25" w:rsidRDefault="00A04A25" w:rsidP="00C944BE">
            <w:pPr>
              <w:pStyle w:val="TableText-calibri10"/>
              <w:rPr>
                <w:rFonts w:asciiTheme="minorHAnsi" w:hAnsiTheme="minorHAnsi" w:cstheme="minorHAnsi"/>
              </w:rPr>
            </w:pPr>
            <w:r>
              <w:rPr>
                <w:rFonts w:asciiTheme="minorHAnsi" w:hAnsiTheme="minorHAnsi" w:cstheme="minorHAnsi"/>
              </w:rPr>
              <w:t>H</w:t>
            </w:r>
            <w:r w:rsidRPr="00527C13">
              <w:rPr>
                <w:rFonts w:asciiTheme="minorHAnsi" w:hAnsiTheme="minorHAnsi" w:cstheme="minorHAnsi"/>
              </w:rPr>
              <w:t xml:space="preserve">ealth care </w:t>
            </w:r>
            <w:r>
              <w:rPr>
                <w:rFonts w:asciiTheme="minorHAnsi" w:hAnsiTheme="minorHAnsi" w:cstheme="minorHAnsi"/>
              </w:rPr>
              <w:t>personnel</w:t>
            </w:r>
            <w:r w:rsidRPr="00527C13">
              <w:rPr>
                <w:rFonts w:asciiTheme="minorHAnsi" w:hAnsiTheme="minorHAnsi" w:cstheme="minorHAnsi"/>
              </w:rPr>
              <w:t xml:space="preserve"> that administers ACAM2000 (</w:t>
            </w:r>
            <w:r w:rsidR="00C34F69">
              <w:rPr>
                <w:rFonts w:asciiTheme="minorHAnsi" w:hAnsiTheme="minorHAnsi" w:cstheme="minorHAnsi"/>
              </w:rPr>
              <w:t>s</w:t>
            </w:r>
            <w:r w:rsidRPr="00527C13">
              <w:rPr>
                <w:rFonts w:asciiTheme="minorHAnsi" w:hAnsiTheme="minorHAnsi" w:cstheme="minorHAnsi"/>
              </w:rPr>
              <w:t xml:space="preserve">mallpox </w:t>
            </w:r>
            <w:r w:rsidR="00C34F69">
              <w:rPr>
                <w:rFonts w:asciiTheme="minorHAnsi" w:hAnsiTheme="minorHAnsi" w:cstheme="minorHAnsi"/>
              </w:rPr>
              <w:t>v</w:t>
            </w:r>
            <w:r w:rsidRPr="00527C13">
              <w:rPr>
                <w:rFonts w:asciiTheme="minorHAnsi" w:hAnsiTheme="minorHAnsi" w:cstheme="minorHAnsi"/>
              </w:rPr>
              <w:t xml:space="preserve">accine, </w:t>
            </w:r>
            <w:r w:rsidR="00C34F69">
              <w:rPr>
                <w:rFonts w:asciiTheme="minorHAnsi" w:hAnsiTheme="minorHAnsi" w:cstheme="minorHAnsi"/>
              </w:rPr>
              <w:t>l</w:t>
            </w:r>
            <w:r w:rsidRPr="00527C13">
              <w:rPr>
                <w:rFonts w:asciiTheme="minorHAnsi" w:hAnsiTheme="minorHAnsi" w:cstheme="minorHAnsi"/>
              </w:rPr>
              <w:t>ive).</w:t>
            </w:r>
          </w:p>
        </w:tc>
        <w:tc>
          <w:tcPr>
            <w:tcW w:w="5399" w:type="dxa"/>
          </w:tcPr>
          <w:p w14:paraId="14C5959D" w14:textId="24AAEA21" w:rsidR="00A04A25" w:rsidRPr="00527C13" w:rsidRDefault="00C80BD9" w:rsidP="00C944BE">
            <w:pPr>
              <w:pStyle w:val="TableText-calibri1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27C13">
              <w:rPr>
                <w:rFonts w:asciiTheme="minorHAnsi" w:hAnsiTheme="minorHAnsi" w:cstheme="minorHAnsi"/>
              </w:rPr>
              <w:t>Proceed to vaccinate.</w:t>
            </w:r>
          </w:p>
        </w:tc>
      </w:tr>
      <w:tr w:rsidR="00A04A25" w:rsidRPr="008E470A" w14:paraId="6D1E7112" w14:textId="77777777" w:rsidTr="002B4203">
        <w:trPr>
          <w:trHeight w:val="285"/>
        </w:trPr>
        <w:tc>
          <w:tcPr>
            <w:cnfStyle w:val="001000000000" w:firstRow="0" w:lastRow="0" w:firstColumn="1" w:lastColumn="0" w:oddVBand="0" w:evenVBand="0" w:oddHBand="0" w:evenHBand="0" w:firstRowFirstColumn="0" w:firstRowLastColumn="0" w:lastRowFirstColumn="0" w:lastRowLastColumn="0"/>
            <w:tcW w:w="5128" w:type="dxa"/>
          </w:tcPr>
          <w:p w14:paraId="5B15F2D6" w14:textId="43E4BDA5" w:rsidR="00A04A25" w:rsidRDefault="00A04A25" w:rsidP="00C944BE">
            <w:pPr>
              <w:pStyle w:val="TableText-calibri10"/>
              <w:rPr>
                <w:rFonts w:asciiTheme="minorHAnsi" w:hAnsiTheme="minorHAnsi" w:cstheme="minorHAnsi"/>
              </w:rPr>
            </w:pPr>
            <w:r>
              <w:rPr>
                <w:rFonts w:asciiTheme="minorHAnsi" w:hAnsiTheme="minorHAnsi" w:cstheme="minorHAnsi"/>
              </w:rPr>
              <w:t>H</w:t>
            </w:r>
            <w:r w:rsidRPr="00527C13">
              <w:rPr>
                <w:rFonts w:asciiTheme="minorHAnsi" w:hAnsiTheme="minorHAnsi" w:cstheme="minorHAnsi"/>
              </w:rPr>
              <w:t xml:space="preserve">ealth care </w:t>
            </w:r>
            <w:r>
              <w:rPr>
                <w:rFonts w:asciiTheme="minorHAnsi" w:hAnsiTheme="minorHAnsi" w:cstheme="minorHAnsi"/>
              </w:rPr>
              <w:t>personnel or public health personnel</w:t>
            </w:r>
            <w:r w:rsidRPr="00527C13">
              <w:rPr>
                <w:rFonts w:asciiTheme="minorHAnsi" w:hAnsiTheme="minorHAnsi" w:cstheme="minorHAnsi"/>
              </w:rPr>
              <w:t xml:space="preserve"> that </w:t>
            </w:r>
            <w:r>
              <w:rPr>
                <w:rFonts w:asciiTheme="minorHAnsi" w:hAnsiTheme="minorHAnsi" w:cstheme="minorHAnsi"/>
              </w:rPr>
              <w:t>are</w:t>
            </w:r>
            <w:r w:rsidRPr="00527C13">
              <w:rPr>
                <w:rFonts w:asciiTheme="minorHAnsi" w:hAnsiTheme="minorHAnsi" w:cstheme="minorHAnsi"/>
              </w:rPr>
              <w:t xml:space="preserve"> indicated by public health officials to receive </w:t>
            </w:r>
            <w:r>
              <w:rPr>
                <w:rFonts w:asciiTheme="minorHAnsi" w:hAnsiTheme="minorHAnsi" w:cstheme="minorHAnsi"/>
              </w:rPr>
              <w:t>JYNNEOS</w:t>
            </w:r>
            <w:r w:rsidRPr="00527C13">
              <w:rPr>
                <w:rFonts w:asciiTheme="minorHAnsi" w:hAnsiTheme="minorHAnsi" w:cstheme="minorHAnsi"/>
              </w:rPr>
              <w:t xml:space="preserve"> vaccine as pre-exposure prophylaxis</w:t>
            </w:r>
            <w:r>
              <w:rPr>
                <w:rFonts w:asciiTheme="minorHAnsi" w:hAnsiTheme="minorHAnsi" w:cstheme="minorHAnsi"/>
              </w:rPr>
              <w:t xml:space="preserve"> (PrEP).</w:t>
            </w:r>
          </w:p>
        </w:tc>
        <w:tc>
          <w:tcPr>
            <w:tcW w:w="5399" w:type="dxa"/>
          </w:tcPr>
          <w:p w14:paraId="7411E22B" w14:textId="168B36DF" w:rsidR="00A04A25" w:rsidRPr="725C54BD" w:rsidRDefault="004A6CD8" w:rsidP="00C944BE">
            <w:pPr>
              <w:pStyle w:val="TableText-calibri10"/>
              <w:jc w:val="lef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27C13">
              <w:rPr>
                <w:rFonts w:asciiTheme="minorHAnsi" w:hAnsiTheme="minorHAnsi" w:cstheme="minorHAnsi"/>
              </w:rPr>
              <w:t>Proceed to vaccinate.</w:t>
            </w:r>
          </w:p>
        </w:tc>
      </w:tr>
      <w:tr w:rsidR="00A04A25" w:rsidRPr="008E470A" w14:paraId="00CB6063" w14:textId="77777777" w:rsidTr="002B420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128" w:type="dxa"/>
            <w:vAlign w:val="top"/>
          </w:tcPr>
          <w:p w14:paraId="07AF0CB1" w14:textId="323CCD64" w:rsidR="00A04A25" w:rsidRDefault="00A04A25" w:rsidP="00C944BE">
            <w:pPr>
              <w:pStyle w:val="TableText-calibri10"/>
              <w:rPr>
                <w:rFonts w:asciiTheme="minorHAnsi" w:hAnsiTheme="minorHAnsi" w:cstheme="minorHAnsi"/>
              </w:rPr>
            </w:pPr>
            <w:r w:rsidRPr="008B01DF">
              <w:t xml:space="preserve">Person </w:t>
            </w:r>
            <w:r>
              <w:t xml:space="preserve">is </w:t>
            </w:r>
            <w:r w:rsidRPr="008B01DF">
              <w:t xml:space="preserve">18 years </w:t>
            </w:r>
            <w:r>
              <w:t xml:space="preserve">of age </w:t>
            </w:r>
            <w:r w:rsidRPr="008B01DF">
              <w:t xml:space="preserve">or older </w:t>
            </w:r>
            <w:r>
              <w:t xml:space="preserve">and </w:t>
            </w:r>
            <w:r w:rsidRPr="008B01DF">
              <w:t xml:space="preserve">has previously received </w:t>
            </w:r>
            <w:r>
              <w:t>JYNNEOS</w:t>
            </w:r>
            <w:r w:rsidRPr="008B01DF">
              <w:t xml:space="preserve"> dose </w:t>
            </w:r>
            <w:r w:rsidR="00C82F00">
              <w:t>one</w:t>
            </w:r>
            <w:r w:rsidRPr="008B01DF">
              <w:t xml:space="preserve"> as a </w:t>
            </w:r>
            <w:r w:rsidRPr="00736AE1">
              <w:t xml:space="preserve">subcutaneous </w:t>
            </w:r>
            <w:r>
              <w:t>(</w:t>
            </w:r>
            <w:r w:rsidRPr="008B01DF">
              <w:t>SC</w:t>
            </w:r>
            <w:r>
              <w:t xml:space="preserve">) or </w:t>
            </w:r>
            <w:r w:rsidRPr="0080432D">
              <w:t>intradermal (ID)</w:t>
            </w:r>
            <w:r w:rsidRPr="008B01DF">
              <w:t xml:space="preserve"> administration. </w:t>
            </w:r>
          </w:p>
        </w:tc>
        <w:tc>
          <w:tcPr>
            <w:tcW w:w="5399" w:type="dxa"/>
          </w:tcPr>
          <w:p w14:paraId="618685E4" w14:textId="65A9484F" w:rsidR="00A04A25" w:rsidRPr="725C54BD" w:rsidRDefault="00A04A25" w:rsidP="00C944BE">
            <w:pPr>
              <w:pStyle w:val="TableText-calibri10"/>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3E95">
              <w:rPr>
                <w:rFonts w:asciiTheme="minorHAnsi" w:hAnsiTheme="minorHAnsi" w:cstheme="minorHAnsi"/>
              </w:rPr>
              <w:t>Proceed to vaccinat</w:t>
            </w:r>
            <w:r w:rsidR="0056438C">
              <w:rPr>
                <w:rFonts w:asciiTheme="minorHAnsi" w:hAnsiTheme="minorHAnsi" w:cstheme="minorHAnsi"/>
              </w:rPr>
              <w:t>e</w:t>
            </w:r>
            <w:r w:rsidRPr="00783E95">
              <w:rPr>
                <w:rFonts w:asciiTheme="minorHAnsi" w:hAnsiTheme="minorHAnsi" w:cstheme="minorHAnsi"/>
              </w:rPr>
              <w:t>.</w:t>
            </w:r>
          </w:p>
        </w:tc>
      </w:tr>
      <w:tr w:rsidR="00A04A25" w:rsidRPr="008E470A" w14:paraId="0EB32CE3" w14:textId="77777777" w:rsidTr="002B4203">
        <w:trPr>
          <w:trHeight w:val="285"/>
        </w:trPr>
        <w:tc>
          <w:tcPr>
            <w:cnfStyle w:val="001000000000" w:firstRow="0" w:lastRow="0" w:firstColumn="1" w:lastColumn="0" w:oddVBand="0" w:evenVBand="0" w:oddHBand="0" w:evenHBand="0" w:firstRowFirstColumn="0" w:firstRowLastColumn="0" w:lastRowFirstColumn="0" w:lastRowLastColumn="0"/>
            <w:tcW w:w="5128" w:type="dxa"/>
          </w:tcPr>
          <w:p w14:paraId="221A05F6" w14:textId="50373F0E" w:rsidR="00A04A25" w:rsidRPr="008B01DF" w:rsidRDefault="00A04A25" w:rsidP="00C944BE">
            <w:pPr>
              <w:pStyle w:val="TableText-calibri10"/>
            </w:pPr>
            <w:r>
              <w:rPr>
                <w:rFonts w:asciiTheme="minorHAnsi" w:hAnsiTheme="minorHAnsi" w:cstheme="minorHAnsi"/>
              </w:rPr>
              <w:t xml:space="preserve">Person has been vaccinated with ACAM2000 at least </w:t>
            </w:r>
            <w:r w:rsidR="00C82F00">
              <w:rPr>
                <w:rFonts w:asciiTheme="minorHAnsi" w:hAnsiTheme="minorHAnsi" w:cstheme="minorHAnsi"/>
              </w:rPr>
              <w:t>three</w:t>
            </w:r>
            <w:r>
              <w:rPr>
                <w:rFonts w:asciiTheme="minorHAnsi" w:hAnsiTheme="minorHAnsi" w:cstheme="minorHAnsi"/>
              </w:rPr>
              <w:t xml:space="preserve"> years ago or has received the </w:t>
            </w:r>
            <w:r w:rsidR="00C82F00">
              <w:rPr>
                <w:rFonts w:asciiTheme="minorHAnsi" w:hAnsiTheme="minorHAnsi" w:cstheme="minorHAnsi"/>
              </w:rPr>
              <w:t>two</w:t>
            </w:r>
            <w:r>
              <w:rPr>
                <w:rFonts w:asciiTheme="minorHAnsi" w:hAnsiTheme="minorHAnsi" w:cstheme="minorHAnsi"/>
              </w:rPr>
              <w:t xml:space="preserve">-dose JYNNEOS primary series at least </w:t>
            </w:r>
            <w:r w:rsidR="00C82F00">
              <w:rPr>
                <w:rFonts w:asciiTheme="minorHAnsi" w:hAnsiTheme="minorHAnsi" w:cstheme="minorHAnsi"/>
              </w:rPr>
              <w:t>two</w:t>
            </w:r>
            <w:r>
              <w:rPr>
                <w:rFonts w:asciiTheme="minorHAnsi" w:hAnsiTheme="minorHAnsi" w:cstheme="minorHAnsi"/>
              </w:rPr>
              <w:t xml:space="preserve"> years ago and is at ongoing risk for occupational exposure to mpox or variola virus.</w:t>
            </w:r>
          </w:p>
        </w:tc>
        <w:tc>
          <w:tcPr>
            <w:tcW w:w="5399" w:type="dxa"/>
          </w:tcPr>
          <w:p w14:paraId="5B6361FE" w14:textId="0F2F853A" w:rsidR="00A04A25" w:rsidRPr="00783E95" w:rsidRDefault="00A04A25" w:rsidP="00C944BE">
            <w:pPr>
              <w:pStyle w:val="TableText-calibri1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rPr>
              <w:t>Proceed to vaccinate following booster prescription.</w:t>
            </w:r>
          </w:p>
        </w:tc>
      </w:tr>
      <w:tr w:rsidR="00A04A25" w:rsidRPr="008E470A" w14:paraId="1EEB58DE" w14:textId="77777777" w:rsidTr="002B420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128" w:type="dxa"/>
          </w:tcPr>
          <w:p w14:paraId="436896A6" w14:textId="24A6D2BE" w:rsidR="00A04A25" w:rsidRDefault="00A04A25" w:rsidP="00C944BE">
            <w:pPr>
              <w:pStyle w:val="TableText-calibri10"/>
              <w:rPr>
                <w:rFonts w:asciiTheme="minorHAnsi" w:hAnsiTheme="minorHAnsi" w:cstheme="minorHAnsi"/>
              </w:rPr>
            </w:pPr>
            <w:r>
              <w:rPr>
                <w:rFonts w:asciiTheme="minorHAnsi" w:hAnsiTheme="minorHAnsi" w:cstheme="minorHAnsi"/>
              </w:rPr>
              <w:t xml:space="preserve">Person has been vaccinated with ACAM2000 or has received the </w:t>
            </w:r>
            <w:r w:rsidR="00C82F00">
              <w:rPr>
                <w:rFonts w:asciiTheme="minorHAnsi" w:hAnsiTheme="minorHAnsi" w:cstheme="minorHAnsi"/>
              </w:rPr>
              <w:t>two</w:t>
            </w:r>
            <w:r>
              <w:rPr>
                <w:rFonts w:asciiTheme="minorHAnsi" w:hAnsiTheme="minorHAnsi" w:cstheme="minorHAnsi"/>
              </w:rPr>
              <w:t xml:space="preserve">-dose JYNNEOS primary series at least 10 years ago and is at </w:t>
            </w:r>
            <w:bookmarkStart w:id="1" w:name="_Hlk166662287"/>
            <w:r>
              <w:rPr>
                <w:rFonts w:asciiTheme="minorHAnsi" w:hAnsiTheme="minorHAnsi" w:cstheme="minorHAnsi"/>
              </w:rPr>
              <w:t xml:space="preserve">ongoing risk for occupational exposure </w:t>
            </w:r>
            <w:bookmarkEnd w:id="1"/>
            <w:r>
              <w:rPr>
                <w:rFonts w:asciiTheme="minorHAnsi" w:hAnsiTheme="minorHAnsi" w:cstheme="minorHAnsi"/>
              </w:rPr>
              <w:t xml:space="preserve">to vaccinia or </w:t>
            </w:r>
            <w:r w:rsidR="00C34F69">
              <w:rPr>
                <w:rFonts w:asciiTheme="minorHAnsi" w:hAnsiTheme="minorHAnsi" w:cstheme="minorHAnsi"/>
              </w:rPr>
              <w:t>c</w:t>
            </w:r>
            <w:r>
              <w:rPr>
                <w:rFonts w:asciiTheme="minorHAnsi" w:hAnsiTheme="minorHAnsi" w:cstheme="minorHAnsi"/>
              </w:rPr>
              <w:t>owpox virus.</w:t>
            </w:r>
          </w:p>
        </w:tc>
        <w:tc>
          <w:tcPr>
            <w:tcW w:w="5399" w:type="dxa"/>
          </w:tcPr>
          <w:p w14:paraId="1E6835F9" w14:textId="7CED2670" w:rsidR="00A04A25" w:rsidRDefault="00A04A25" w:rsidP="00C944BE">
            <w:pPr>
              <w:pStyle w:val="TableText-calibri10"/>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Proceed to vaccinate following booster prescription.</w:t>
            </w:r>
          </w:p>
        </w:tc>
      </w:tr>
    </w:tbl>
    <w:p w14:paraId="7B87EA16" w14:textId="74C9308A" w:rsidR="000B3E7D" w:rsidRDefault="000B3E7D" w:rsidP="0015567C">
      <w:pPr>
        <w:pStyle w:val="TableorChartTitle"/>
        <w:jc w:val="left"/>
      </w:pPr>
      <w:r>
        <w:t>Contraindications</w:t>
      </w:r>
    </w:p>
    <w:tbl>
      <w:tblPr>
        <w:tblStyle w:val="MDHstyle"/>
        <w:tblW w:w="10527" w:type="dxa"/>
        <w:tblLook w:val="04A0" w:firstRow="1" w:lastRow="0" w:firstColumn="1" w:lastColumn="0" w:noHBand="0" w:noVBand="1"/>
      </w:tblPr>
      <w:tblGrid>
        <w:gridCol w:w="5128"/>
        <w:gridCol w:w="5399"/>
      </w:tblGrid>
      <w:tr w:rsidR="0015567C" w:rsidRPr="008E470A" w14:paraId="03431DC1" w14:textId="77777777" w:rsidTr="002B4203">
        <w:trPr>
          <w:cnfStyle w:val="100000000000" w:firstRow="1" w:lastRow="0" w:firstColumn="0" w:lastColumn="0" w:oddVBand="0" w:evenVBand="0" w:oddHBand="0"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5128" w:type="dxa"/>
          </w:tcPr>
          <w:p w14:paraId="282C4CFF" w14:textId="77777777" w:rsidR="0015567C" w:rsidRPr="008E470A" w:rsidRDefault="0015567C" w:rsidP="008E470A">
            <w:pPr>
              <w:pStyle w:val="TableText-calibri10"/>
            </w:pPr>
            <w:r w:rsidRPr="008E470A">
              <w:t>Criteria</w:t>
            </w:r>
          </w:p>
        </w:tc>
        <w:tc>
          <w:tcPr>
            <w:tcW w:w="5399" w:type="dxa"/>
          </w:tcPr>
          <w:p w14:paraId="4692A7FB" w14:textId="77777777" w:rsidR="0015567C" w:rsidRPr="008E470A" w:rsidRDefault="0015567C" w:rsidP="008E470A">
            <w:pPr>
              <w:pStyle w:val="TableText-calibri10"/>
              <w:cnfStyle w:val="100000000000" w:firstRow="1" w:lastRow="0" w:firstColumn="0" w:lastColumn="0" w:oddVBand="0" w:evenVBand="0" w:oddHBand="0" w:evenHBand="0" w:firstRowFirstColumn="0" w:firstRowLastColumn="0" w:lastRowFirstColumn="0" w:lastRowLastColumn="0"/>
            </w:pPr>
            <w:r w:rsidRPr="008E470A">
              <w:t>Prescribed action</w:t>
            </w:r>
          </w:p>
        </w:tc>
      </w:tr>
      <w:tr w:rsidR="00AE617C" w:rsidRPr="008E470A" w14:paraId="7005D129" w14:textId="77777777" w:rsidTr="002B4203">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5128" w:type="dxa"/>
          </w:tcPr>
          <w:p w14:paraId="40D93939" w14:textId="72FC5167" w:rsidR="00AE617C" w:rsidRPr="008E470A" w:rsidRDefault="00AE617C" w:rsidP="00AE617C">
            <w:pPr>
              <w:pStyle w:val="TableText-calibri10"/>
            </w:pPr>
            <w:r w:rsidRPr="00527C13">
              <w:rPr>
                <w:rFonts w:asciiTheme="minorHAnsi" w:hAnsiTheme="minorHAnsi" w:cstheme="minorHAnsi"/>
                <w:szCs w:val="20"/>
              </w:rPr>
              <w:t xml:space="preserve">Person has </w:t>
            </w:r>
            <w:r>
              <w:rPr>
                <w:rFonts w:asciiTheme="minorHAnsi" w:hAnsiTheme="minorHAnsi" w:cstheme="minorHAnsi"/>
                <w:szCs w:val="20"/>
              </w:rPr>
              <w:t xml:space="preserve">had </w:t>
            </w:r>
            <w:r w:rsidRPr="00527C13">
              <w:rPr>
                <w:rFonts w:asciiTheme="minorHAnsi" w:hAnsiTheme="minorHAnsi" w:cstheme="minorHAnsi"/>
                <w:szCs w:val="20"/>
              </w:rPr>
              <w:t xml:space="preserve">a life-threatening </w:t>
            </w:r>
            <w:r>
              <w:rPr>
                <w:rFonts w:asciiTheme="minorHAnsi" w:hAnsiTheme="minorHAnsi" w:cstheme="minorHAnsi"/>
                <w:szCs w:val="20"/>
              </w:rPr>
              <w:t>allergic reaction</w:t>
            </w:r>
            <w:r w:rsidRPr="00527C13">
              <w:rPr>
                <w:rFonts w:asciiTheme="minorHAnsi" w:hAnsiTheme="minorHAnsi" w:cstheme="minorHAnsi"/>
                <w:szCs w:val="20"/>
              </w:rPr>
              <w:t xml:space="preserve"> to a </w:t>
            </w:r>
            <w:r>
              <w:rPr>
                <w:rFonts w:asciiTheme="minorHAnsi" w:hAnsiTheme="minorHAnsi" w:cstheme="minorHAnsi"/>
                <w:szCs w:val="20"/>
              </w:rPr>
              <w:t>previous dose of JYNNEOS vaccine.</w:t>
            </w:r>
          </w:p>
        </w:tc>
        <w:tc>
          <w:tcPr>
            <w:tcW w:w="5399" w:type="dxa"/>
          </w:tcPr>
          <w:p w14:paraId="68751DD1" w14:textId="54CBD93F" w:rsidR="00AE617C" w:rsidRPr="008E470A" w:rsidRDefault="00AE617C" w:rsidP="002B4203">
            <w:pPr>
              <w:pStyle w:val="TableText-calibri10"/>
              <w:jc w:val="left"/>
              <w:cnfStyle w:val="000000100000" w:firstRow="0" w:lastRow="0" w:firstColumn="0" w:lastColumn="0" w:oddVBand="0" w:evenVBand="0" w:oddHBand="1" w:evenHBand="0" w:firstRowFirstColumn="0" w:firstRowLastColumn="0" w:lastRowFirstColumn="0" w:lastRowLastColumn="0"/>
            </w:pPr>
            <w:r w:rsidRPr="00992BCE">
              <w:rPr>
                <w:rFonts w:asciiTheme="minorHAnsi" w:hAnsiTheme="minorHAnsi" w:cstheme="minorHAnsi"/>
                <w:szCs w:val="20"/>
              </w:rPr>
              <w:t>Do not vaccinate; _____________________</w:t>
            </w:r>
          </w:p>
        </w:tc>
      </w:tr>
      <w:tr w:rsidR="00AE617C" w:rsidRPr="008E470A" w14:paraId="0B0C8027" w14:textId="77777777" w:rsidTr="002B4203">
        <w:trPr>
          <w:trHeight w:val="301"/>
        </w:trPr>
        <w:tc>
          <w:tcPr>
            <w:cnfStyle w:val="001000000000" w:firstRow="0" w:lastRow="0" w:firstColumn="1" w:lastColumn="0" w:oddVBand="0" w:evenVBand="0" w:oddHBand="0" w:evenHBand="0" w:firstRowFirstColumn="0" w:firstRowLastColumn="0" w:lastRowFirstColumn="0" w:lastRowLastColumn="0"/>
            <w:tcW w:w="5128" w:type="dxa"/>
          </w:tcPr>
          <w:p w14:paraId="2A3603DD" w14:textId="2B5A3768" w:rsidR="00AE617C" w:rsidRPr="008E470A" w:rsidRDefault="00AE617C" w:rsidP="00AE617C">
            <w:pPr>
              <w:pStyle w:val="TableText-calibri10"/>
            </w:pPr>
            <w:r w:rsidRPr="002F41F1">
              <w:rPr>
                <w:rFonts w:asciiTheme="minorHAnsi" w:hAnsiTheme="minorHAnsi" w:cstheme="minorHAnsi"/>
                <w:szCs w:val="20"/>
              </w:rPr>
              <w:t xml:space="preserve">Person has had a life-threatening allergic reaction to a </w:t>
            </w:r>
            <w:r>
              <w:rPr>
                <w:rFonts w:asciiTheme="minorHAnsi" w:hAnsiTheme="minorHAnsi" w:cstheme="minorHAnsi"/>
                <w:szCs w:val="20"/>
              </w:rPr>
              <w:t>component</w:t>
            </w:r>
            <w:r w:rsidRPr="002F41F1">
              <w:rPr>
                <w:rFonts w:asciiTheme="minorHAnsi" w:hAnsiTheme="minorHAnsi" w:cstheme="minorHAnsi"/>
                <w:szCs w:val="20"/>
              </w:rPr>
              <w:t xml:space="preserve"> of </w:t>
            </w:r>
            <w:r>
              <w:rPr>
                <w:rFonts w:asciiTheme="minorHAnsi" w:hAnsiTheme="minorHAnsi" w:cstheme="minorHAnsi"/>
                <w:szCs w:val="20"/>
              </w:rPr>
              <w:t>JYNNEOS</w:t>
            </w:r>
            <w:r w:rsidRPr="002F41F1">
              <w:rPr>
                <w:rFonts w:asciiTheme="minorHAnsi" w:hAnsiTheme="minorHAnsi" w:cstheme="minorHAnsi"/>
                <w:szCs w:val="20"/>
              </w:rPr>
              <w:t xml:space="preserve"> vaccine</w:t>
            </w:r>
            <w:r>
              <w:rPr>
                <w:rFonts w:asciiTheme="minorHAnsi" w:hAnsiTheme="minorHAnsi" w:cstheme="minorHAnsi"/>
                <w:szCs w:val="20"/>
              </w:rPr>
              <w:t>.</w:t>
            </w:r>
          </w:p>
        </w:tc>
        <w:tc>
          <w:tcPr>
            <w:tcW w:w="5399" w:type="dxa"/>
          </w:tcPr>
          <w:p w14:paraId="753EF366" w14:textId="3F0C4B60" w:rsidR="00AE617C" w:rsidRPr="008E470A" w:rsidRDefault="00AE617C" w:rsidP="002B4203">
            <w:pPr>
              <w:pStyle w:val="TableText-calibri10"/>
              <w:jc w:val="left"/>
              <w:cnfStyle w:val="000000000000" w:firstRow="0" w:lastRow="0" w:firstColumn="0" w:lastColumn="0" w:oddVBand="0" w:evenVBand="0" w:oddHBand="0" w:evenHBand="0" w:firstRowFirstColumn="0" w:firstRowLastColumn="0" w:lastRowFirstColumn="0" w:lastRowLastColumn="0"/>
            </w:pPr>
            <w:r w:rsidRPr="00992BCE">
              <w:rPr>
                <w:rFonts w:asciiTheme="minorHAnsi" w:hAnsiTheme="minorHAnsi" w:cstheme="minorHAnsi"/>
                <w:szCs w:val="20"/>
              </w:rPr>
              <w:t>Do not vaccinate; _____________________</w:t>
            </w:r>
          </w:p>
        </w:tc>
      </w:tr>
    </w:tbl>
    <w:p w14:paraId="799D0173" w14:textId="77777777" w:rsidR="0015567C" w:rsidRDefault="0015567C" w:rsidP="0015567C">
      <w:pPr>
        <w:pStyle w:val="TableorChartTitle"/>
        <w:jc w:val="left"/>
      </w:pPr>
      <w:r>
        <w:t>Precautions</w:t>
      </w:r>
    </w:p>
    <w:tbl>
      <w:tblPr>
        <w:tblStyle w:val="MDHstyle"/>
        <w:tblW w:w="10527" w:type="dxa"/>
        <w:tblLook w:val="04A0" w:firstRow="1" w:lastRow="0" w:firstColumn="1" w:lastColumn="0" w:noHBand="0" w:noVBand="1"/>
      </w:tblPr>
      <w:tblGrid>
        <w:gridCol w:w="5128"/>
        <w:gridCol w:w="5399"/>
      </w:tblGrid>
      <w:tr w:rsidR="0015567C" w:rsidRPr="008E470A" w14:paraId="7BD181FC" w14:textId="77777777" w:rsidTr="002B4203">
        <w:trPr>
          <w:cnfStyle w:val="100000000000" w:firstRow="1" w:lastRow="0" w:firstColumn="0" w:lastColumn="0" w:oddVBand="0" w:evenVBand="0" w:oddHBand="0"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5128" w:type="dxa"/>
          </w:tcPr>
          <w:p w14:paraId="174D9C34" w14:textId="77777777" w:rsidR="0015567C" w:rsidRPr="008E470A" w:rsidRDefault="0015567C" w:rsidP="008E470A">
            <w:pPr>
              <w:pStyle w:val="TableText-calibri10"/>
            </w:pPr>
            <w:r w:rsidRPr="008E470A">
              <w:t>Criteria</w:t>
            </w:r>
          </w:p>
        </w:tc>
        <w:tc>
          <w:tcPr>
            <w:tcW w:w="5399" w:type="dxa"/>
          </w:tcPr>
          <w:p w14:paraId="176E4172" w14:textId="77777777" w:rsidR="0015567C" w:rsidRPr="008E470A" w:rsidRDefault="0015567C" w:rsidP="008E470A">
            <w:pPr>
              <w:pStyle w:val="TableText-calibri10"/>
              <w:cnfStyle w:val="100000000000" w:firstRow="1" w:lastRow="0" w:firstColumn="0" w:lastColumn="0" w:oddVBand="0" w:evenVBand="0" w:oddHBand="0" w:evenHBand="0" w:firstRowFirstColumn="0" w:firstRowLastColumn="0" w:lastRowFirstColumn="0" w:lastRowLastColumn="0"/>
            </w:pPr>
            <w:r w:rsidRPr="008E470A">
              <w:t>Prescribed action</w:t>
            </w:r>
          </w:p>
        </w:tc>
      </w:tr>
      <w:tr w:rsidR="00980B6B" w:rsidRPr="008E470A" w14:paraId="5896B4F6" w14:textId="77777777" w:rsidTr="002B4203">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5128" w:type="dxa"/>
          </w:tcPr>
          <w:p w14:paraId="2F749D01" w14:textId="3C04EDB8" w:rsidR="00980B6B" w:rsidRPr="008E470A" w:rsidRDefault="00980B6B" w:rsidP="00980B6B">
            <w:pPr>
              <w:pStyle w:val="TableText-calibri10"/>
            </w:pPr>
            <w:r w:rsidRPr="007563A7">
              <w:rPr>
                <w:rFonts w:cs="Calibri"/>
                <w:szCs w:val="20"/>
              </w:rPr>
              <w:t xml:space="preserve">Person has a mild illness defined as temperature less than ____°F/°C with symptoms such as: [to be determined by medical prescriber] </w:t>
            </w:r>
          </w:p>
        </w:tc>
        <w:tc>
          <w:tcPr>
            <w:tcW w:w="5399" w:type="dxa"/>
          </w:tcPr>
          <w:p w14:paraId="27B7FDF7" w14:textId="24208FE0" w:rsidR="00980B6B" w:rsidRPr="008E470A" w:rsidRDefault="00980B6B" w:rsidP="00980B6B">
            <w:pPr>
              <w:pStyle w:val="TableText-calibri10"/>
              <w:jc w:val="left"/>
              <w:cnfStyle w:val="000000100000" w:firstRow="0" w:lastRow="0" w:firstColumn="0" w:lastColumn="0" w:oddVBand="0" w:evenVBand="0" w:oddHBand="1" w:evenHBand="0" w:firstRowFirstColumn="0" w:firstRowLastColumn="0" w:lastRowFirstColumn="0" w:lastRowLastColumn="0"/>
            </w:pPr>
            <w:r w:rsidRPr="007563A7">
              <w:rPr>
                <w:rFonts w:cs="Calibri"/>
                <w:szCs w:val="20"/>
              </w:rPr>
              <w:t>Proceed to vaccinate.</w:t>
            </w:r>
          </w:p>
        </w:tc>
      </w:tr>
      <w:tr w:rsidR="00980B6B" w:rsidRPr="008E470A" w14:paraId="0DDCB27F" w14:textId="77777777" w:rsidTr="002B4203">
        <w:trPr>
          <w:trHeight w:val="278"/>
        </w:trPr>
        <w:tc>
          <w:tcPr>
            <w:cnfStyle w:val="001000000000" w:firstRow="0" w:lastRow="0" w:firstColumn="1" w:lastColumn="0" w:oddVBand="0" w:evenVBand="0" w:oddHBand="0" w:evenHBand="0" w:firstRowFirstColumn="0" w:firstRowLastColumn="0" w:lastRowFirstColumn="0" w:lastRowLastColumn="0"/>
            <w:tcW w:w="5128" w:type="dxa"/>
          </w:tcPr>
          <w:p w14:paraId="0A368789" w14:textId="103C4AA9" w:rsidR="00980B6B" w:rsidRPr="008E470A" w:rsidRDefault="00980B6B" w:rsidP="00980B6B">
            <w:pPr>
              <w:pStyle w:val="TableText-calibri10"/>
            </w:pPr>
            <w:r w:rsidRPr="007563A7">
              <w:rPr>
                <w:rFonts w:cs="Calibri"/>
                <w:szCs w:val="20"/>
              </w:rPr>
              <w:t xml:space="preserve">Person has a moderate to severe illness defined as temperature ____°F/°C or higher with symptoms such as: [to be determined by medical prescriber] </w:t>
            </w:r>
          </w:p>
        </w:tc>
        <w:tc>
          <w:tcPr>
            <w:tcW w:w="5399" w:type="dxa"/>
          </w:tcPr>
          <w:p w14:paraId="6FBAFC44" w14:textId="7408F767" w:rsidR="00980B6B" w:rsidRPr="008E470A" w:rsidRDefault="00980B6B" w:rsidP="00980B6B">
            <w:pPr>
              <w:pStyle w:val="TableText-calibri10"/>
              <w:jc w:val="left"/>
              <w:cnfStyle w:val="000000000000" w:firstRow="0" w:lastRow="0" w:firstColumn="0" w:lastColumn="0" w:oddVBand="0" w:evenVBand="0" w:oddHBand="0" w:evenHBand="0" w:firstRowFirstColumn="0" w:firstRowLastColumn="0" w:lastRowFirstColumn="0" w:lastRowLastColumn="0"/>
            </w:pPr>
            <w:r w:rsidRPr="007563A7">
              <w:rPr>
                <w:rFonts w:cs="Calibri"/>
                <w:szCs w:val="20"/>
              </w:rPr>
              <w:t>Defer vaccination and [to be determined by medical prescriber]</w:t>
            </w:r>
          </w:p>
        </w:tc>
      </w:tr>
      <w:tr w:rsidR="00980B6B" w:rsidRPr="008E470A" w14:paraId="18B00362" w14:textId="77777777" w:rsidTr="002B4203">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5128" w:type="dxa"/>
          </w:tcPr>
          <w:p w14:paraId="73E9C74A" w14:textId="337E73DC" w:rsidR="00980B6B" w:rsidRPr="007563A7" w:rsidRDefault="00980B6B" w:rsidP="00980B6B">
            <w:pPr>
              <w:pStyle w:val="TableText-calibri10"/>
              <w:rPr>
                <w:rFonts w:cs="Calibri"/>
                <w:szCs w:val="20"/>
              </w:rPr>
            </w:pPr>
            <w:r w:rsidRPr="00527C13">
              <w:rPr>
                <w:rFonts w:asciiTheme="minorHAnsi" w:hAnsiTheme="minorHAnsi" w:cstheme="minorHAnsi"/>
                <w:szCs w:val="20"/>
              </w:rPr>
              <w:lastRenderedPageBreak/>
              <w:t xml:space="preserve">Person has </w:t>
            </w:r>
            <w:r>
              <w:rPr>
                <w:rFonts w:asciiTheme="minorHAnsi" w:hAnsiTheme="minorHAnsi" w:cstheme="minorHAnsi"/>
                <w:szCs w:val="20"/>
              </w:rPr>
              <w:t xml:space="preserve">underlying heart disease or </w:t>
            </w:r>
            <w:r w:rsidRPr="00527C13">
              <w:rPr>
                <w:rFonts w:asciiTheme="minorHAnsi" w:hAnsiTheme="minorHAnsi" w:cstheme="minorHAnsi"/>
                <w:szCs w:val="20"/>
              </w:rPr>
              <w:t>multiple cardiac risk factors.</w:t>
            </w:r>
          </w:p>
        </w:tc>
        <w:tc>
          <w:tcPr>
            <w:tcW w:w="5399" w:type="dxa"/>
          </w:tcPr>
          <w:p w14:paraId="152F8DAD" w14:textId="77777777" w:rsidR="00980B6B" w:rsidRPr="00527C13" w:rsidRDefault="00980B6B" w:rsidP="00980B6B">
            <w:pPr>
              <w:pStyle w:val="TableText-calibri10"/>
              <w:jc w:val="left"/>
              <w:cnfStyle w:val="000000100000" w:firstRow="0" w:lastRow="0" w:firstColumn="0" w:lastColumn="0" w:oddVBand="0" w:evenVBand="0" w:oddHBand="1" w:evenHBand="0" w:firstRowFirstColumn="0" w:firstRowLastColumn="0" w:lastRowFirstColumn="0" w:lastRowLastColumn="0"/>
              <w:rPr>
                <w:rFonts w:cs="Calibri"/>
                <w:strike/>
              </w:rPr>
            </w:pPr>
            <w:r w:rsidRPr="025CA80F">
              <w:rPr>
                <w:rFonts w:cs="Calibri"/>
              </w:rPr>
              <w:t>Refer to healthcare provider managing person’s heart condition(s) or proceed to vaccinate after counseling persons with underlying heart disease or three or more major cardiac risk factors. Counsel regarding the following:</w:t>
            </w:r>
          </w:p>
          <w:p w14:paraId="5C5AD5A7" w14:textId="77777777" w:rsidR="00980B6B" w:rsidRPr="00980B6B" w:rsidRDefault="00980B6B" w:rsidP="00980B6B">
            <w:pPr>
              <w:pStyle w:val="ListNumber"/>
              <w:numPr>
                <w:ilvl w:val="0"/>
                <w:numId w:val="18"/>
              </w:numPr>
              <w:spacing w:before="0" w:after="0"/>
              <w:jc w:val="left"/>
              <w:cnfStyle w:val="000000100000" w:firstRow="0" w:lastRow="0" w:firstColumn="0" w:lastColumn="0" w:oddVBand="0" w:evenVBand="0" w:oddHBand="1" w:evenHBand="0" w:firstRowFirstColumn="0" w:firstRowLastColumn="0" w:lastRowFirstColumn="0" w:lastRowLastColumn="0"/>
              <w:rPr>
                <w:sz w:val="20"/>
                <w:szCs w:val="20"/>
              </w:rPr>
            </w:pPr>
            <w:r w:rsidRPr="00980B6B">
              <w:rPr>
                <w:sz w:val="20"/>
                <w:szCs w:val="20"/>
              </w:rPr>
              <w:t xml:space="preserve">The theoretical risk for myopericarditis following vaccination with JYNNEOS vaccine. </w:t>
            </w:r>
          </w:p>
          <w:p w14:paraId="23C33D2A" w14:textId="77777777" w:rsidR="00980B6B" w:rsidRPr="00980B6B" w:rsidRDefault="00980B6B" w:rsidP="00980B6B">
            <w:pPr>
              <w:pStyle w:val="ListNumber"/>
              <w:numPr>
                <w:ilvl w:val="0"/>
                <w:numId w:val="18"/>
              </w:numPr>
              <w:spacing w:before="0" w:after="0"/>
              <w:jc w:val="left"/>
              <w:cnfStyle w:val="000000100000" w:firstRow="0" w:lastRow="0" w:firstColumn="0" w:lastColumn="0" w:oddVBand="0" w:evenVBand="0" w:oddHBand="1" w:evenHBand="0" w:firstRowFirstColumn="0" w:firstRowLastColumn="0" w:lastRowFirstColumn="0" w:lastRowLastColumn="0"/>
              <w:rPr>
                <w:sz w:val="20"/>
                <w:szCs w:val="20"/>
              </w:rPr>
            </w:pPr>
            <w:r w:rsidRPr="00980B6B">
              <w:rPr>
                <w:sz w:val="20"/>
                <w:szCs w:val="20"/>
              </w:rPr>
              <w:t>The signs and symptoms of myopericarditis such as shortness of breath, chest pain, sensation of thumping in the chest or irregular heartbeats.</w:t>
            </w:r>
          </w:p>
          <w:p w14:paraId="6A8F5B57" w14:textId="140E3167" w:rsidR="00980B6B" w:rsidRPr="00980B6B" w:rsidRDefault="00980B6B" w:rsidP="00980B6B">
            <w:pPr>
              <w:pStyle w:val="ListNumber"/>
              <w:numPr>
                <w:ilvl w:val="0"/>
                <w:numId w:val="18"/>
              </w:numPr>
              <w:spacing w:before="0" w:after="0"/>
              <w:jc w:val="left"/>
              <w:cnfStyle w:val="000000100000" w:firstRow="0" w:lastRow="0" w:firstColumn="0" w:lastColumn="0" w:oddVBand="0" w:evenVBand="0" w:oddHBand="1" w:evenHBand="0" w:firstRowFirstColumn="0" w:firstRowLastColumn="0" w:lastRowFirstColumn="0" w:lastRowLastColumn="0"/>
              <w:rPr>
                <w:rFonts w:cs="Calibri"/>
                <w:szCs w:val="20"/>
              </w:rPr>
            </w:pPr>
            <w:r w:rsidRPr="00980B6B">
              <w:rPr>
                <w:sz w:val="20"/>
                <w:szCs w:val="20"/>
              </w:rPr>
              <w:t>The option of discussing vaccination with the health care provider who is caring for the person’s heart health.</w:t>
            </w:r>
          </w:p>
        </w:tc>
      </w:tr>
      <w:tr w:rsidR="00980B6B" w:rsidRPr="008E470A" w14:paraId="698438A2" w14:textId="77777777" w:rsidTr="002B4203">
        <w:trPr>
          <w:trHeight w:val="278"/>
        </w:trPr>
        <w:tc>
          <w:tcPr>
            <w:cnfStyle w:val="001000000000" w:firstRow="0" w:lastRow="0" w:firstColumn="1" w:lastColumn="0" w:oddVBand="0" w:evenVBand="0" w:oddHBand="0" w:evenHBand="0" w:firstRowFirstColumn="0" w:firstRowLastColumn="0" w:lastRowFirstColumn="0" w:lastRowLastColumn="0"/>
            <w:tcW w:w="5128" w:type="dxa"/>
          </w:tcPr>
          <w:p w14:paraId="02E74C95" w14:textId="107D9EE8" w:rsidR="00980B6B" w:rsidRPr="00527C13" w:rsidRDefault="00980B6B" w:rsidP="00980B6B">
            <w:pPr>
              <w:pStyle w:val="TableText-calibri10"/>
              <w:rPr>
                <w:rFonts w:asciiTheme="minorHAnsi" w:hAnsiTheme="minorHAnsi" w:cstheme="minorHAnsi"/>
                <w:szCs w:val="20"/>
              </w:rPr>
            </w:pPr>
            <w:r w:rsidRPr="00527C13">
              <w:rPr>
                <w:rFonts w:asciiTheme="minorHAnsi" w:hAnsiTheme="minorHAnsi" w:cstheme="minorHAnsi"/>
                <w:szCs w:val="20"/>
              </w:rPr>
              <w:t xml:space="preserve">Person is pregnant or breastfeeding. </w:t>
            </w:r>
          </w:p>
        </w:tc>
        <w:tc>
          <w:tcPr>
            <w:tcW w:w="5399" w:type="dxa"/>
          </w:tcPr>
          <w:p w14:paraId="3E45EE04" w14:textId="77777777" w:rsidR="00980B6B" w:rsidRPr="00527C13" w:rsidRDefault="00980B6B" w:rsidP="00980B6B">
            <w:pPr>
              <w:pStyle w:val="TableText-calibri1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527C13">
              <w:rPr>
                <w:rFonts w:asciiTheme="minorHAnsi" w:hAnsiTheme="minorHAnsi" w:cstheme="minorHAnsi"/>
                <w:szCs w:val="20"/>
              </w:rPr>
              <w:t>Proceed to vaccinate after counseling the individual about:</w:t>
            </w:r>
          </w:p>
          <w:p w14:paraId="1BC8F116" w14:textId="77777777" w:rsidR="00980B6B" w:rsidRPr="00980B6B" w:rsidRDefault="00980B6B" w:rsidP="00980B6B">
            <w:pPr>
              <w:pStyle w:val="ListNumber"/>
              <w:numPr>
                <w:ilvl w:val="0"/>
                <w:numId w:val="19"/>
              </w:numPr>
              <w:spacing w:before="0" w:after="0"/>
              <w:jc w:val="left"/>
              <w:cnfStyle w:val="000000000000" w:firstRow="0" w:lastRow="0" w:firstColumn="0" w:lastColumn="0" w:oddVBand="0" w:evenVBand="0" w:oddHBand="0" w:evenHBand="0" w:firstRowFirstColumn="0" w:firstRowLastColumn="0" w:lastRowFirstColumn="0" w:lastRowLastColumn="0"/>
              <w:rPr>
                <w:sz w:val="20"/>
                <w:szCs w:val="20"/>
              </w:rPr>
            </w:pPr>
            <w:r w:rsidRPr="00980B6B">
              <w:rPr>
                <w:sz w:val="20"/>
                <w:szCs w:val="20"/>
              </w:rPr>
              <w:t>There are no data in people who are pregnant or breastfeeding but data in animal studies is reassuring.</w:t>
            </w:r>
          </w:p>
          <w:p w14:paraId="7E71A998" w14:textId="06D5A679" w:rsidR="00980B6B" w:rsidRPr="025CA80F" w:rsidRDefault="00980B6B" w:rsidP="00980B6B">
            <w:pPr>
              <w:pStyle w:val="ListNumber"/>
              <w:spacing w:before="0" w:after="0"/>
              <w:jc w:val="left"/>
              <w:cnfStyle w:val="000000000000" w:firstRow="0" w:lastRow="0" w:firstColumn="0" w:lastColumn="0" w:oddVBand="0" w:evenVBand="0" w:oddHBand="0" w:evenHBand="0" w:firstRowFirstColumn="0" w:firstRowLastColumn="0" w:lastRowFirstColumn="0" w:lastRowLastColumn="0"/>
              <w:rPr>
                <w:rFonts w:cs="Calibri"/>
              </w:rPr>
            </w:pPr>
            <w:r w:rsidRPr="00980B6B">
              <w:rPr>
                <w:sz w:val="20"/>
                <w:szCs w:val="20"/>
              </w:rPr>
              <w:t>The risk of mpox disease in pregnancy or breastfeeding is greater than the risk of vaccination.</w:t>
            </w:r>
          </w:p>
        </w:tc>
      </w:tr>
    </w:tbl>
    <w:p w14:paraId="52EB7641" w14:textId="77777777" w:rsidR="0015567C" w:rsidRDefault="0015567C" w:rsidP="00FA3AE0">
      <w:pPr>
        <w:pStyle w:val="Heading2"/>
        <w:keepNext/>
      </w:pPr>
      <w:r>
        <w:t>Prescription</w:t>
      </w:r>
    </w:p>
    <w:p w14:paraId="0BA2B643" w14:textId="076A1841" w:rsidR="00C055E0" w:rsidRDefault="008D56A1" w:rsidP="00F60ED9">
      <w:pPr>
        <w:pStyle w:val="ListBullet"/>
      </w:pPr>
      <w:r w:rsidRPr="00F60ED9">
        <w:rPr>
          <w:b/>
          <w:bCs/>
        </w:rPr>
        <w:t>For 6 months and older</w:t>
      </w:r>
      <w:r>
        <w:t>:</w:t>
      </w:r>
      <w:r w:rsidR="00F60ED9">
        <w:t xml:space="preserve"> </w:t>
      </w:r>
      <w:r w:rsidR="00C055E0">
        <w:t>Give JYNNEOS vaccine 0.5 mL subcutaneously (SC), give second dose 28 days following the first dose.</w:t>
      </w:r>
    </w:p>
    <w:p w14:paraId="0B1A5104" w14:textId="6010C9C9" w:rsidR="00C055E0" w:rsidRPr="00C055E0" w:rsidRDefault="00A029C1" w:rsidP="00F60ED9">
      <w:pPr>
        <w:pStyle w:val="ListBullet"/>
      </w:pPr>
      <w:r w:rsidRPr="00F60ED9">
        <w:rPr>
          <w:b/>
          <w:bCs/>
        </w:rPr>
        <w:t>Booster dose for ongoing risk for occupational exposure</w:t>
      </w:r>
      <w:r w:rsidR="00F60ED9">
        <w:t xml:space="preserve">: </w:t>
      </w:r>
      <w:r w:rsidR="00BB6861">
        <w:t>Give JYNNEOS vaccine 0.5 mL subcutaneously (SC).</w:t>
      </w:r>
    </w:p>
    <w:p w14:paraId="47F71219" w14:textId="1B1E4AB6" w:rsidR="0015567C" w:rsidRDefault="00CB17E6" w:rsidP="006D4D5C">
      <w:pPr>
        <w:pStyle w:val="Heading2"/>
        <w:keepNext/>
      </w:pPr>
      <w:r>
        <w:t>Medical emergency or a</w:t>
      </w:r>
      <w:r w:rsidR="0015567C">
        <w:t>naphylaxis</w:t>
      </w:r>
    </w:p>
    <w:p w14:paraId="6C7E18A7" w14:textId="77777777" w:rsidR="005F3404" w:rsidRDefault="001D69F3" w:rsidP="006D4D5C">
      <w:pPr>
        <w:rPr>
          <w:sz w:val="20"/>
          <w:szCs w:val="20"/>
        </w:rPr>
      </w:pPr>
      <w:r w:rsidRPr="59BEB75F">
        <w:t xml:space="preserve">Follow pre-established agency protocol for anaphylaxis. </w:t>
      </w:r>
    </w:p>
    <w:p w14:paraId="3C84BB20" w14:textId="1C26F137" w:rsidR="005F3404" w:rsidRDefault="00CB17E6" w:rsidP="005F3404">
      <w:pPr>
        <w:pStyle w:val="Heading2"/>
      </w:pPr>
      <w:r>
        <w:t>Question or c</w:t>
      </w:r>
      <w:r w:rsidR="005F3404">
        <w:t>oncerns</w:t>
      </w:r>
    </w:p>
    <w:p w14:paraId="06C0D755" w14:textId="023E2C2B" w:rsidR="001D3C8B" w:rsidRPr="007D53F2" w:rsidRDefault="001D3C8B" w:rsidP="007D53F2">
      <w:pPr>
        <w:rPr>
          <w:bCs/>
          <w:color w:val="C00000"/>
        </w:rPr>
      </w:pPr>
      <w:r w:rsidRPr="007D53F2">
        <w:rPr>
          <w:b/>
          <w:bCs/>
          <w:color w:val="C00000"/>
        </w:rPr>
        <w:t xml:space="preserve">Insert overseeing medical consultant’s information </w:t>
      </w:r>
      <w:r w:rsidR="008C3BED" w:rsidRPr="007D53F2">
        <w:rPr>
          <w:b/>
          <w:bCs/>
          <w:color w:val="C00000"/>
        </w:rPr>
        <w:t>below and d</w:t>
      </w:r>
      <w:r w:rsidRPr="007D53F2">
        <w:rPr>
          <w:b/>
          <w:bCs/>
          <w:color w:val="C00000"/>
        </w:rPr>
        <w:t xml:space="preserve">elete this sentence before </w:t>
      </w:r>
      <w:r w:rsidR="00DE784B" w:rsidRPr="007D53F2">
        <w:rPr>
          <w:b/>
          <w:bCs/>
          <w:color w:val="C00000"/>
        </w:rPr>
        <w:t>printing/signing.</w:t>
      </w:r>
    </w:p>
    <w:p w14:paraId="4B0B8939" w14:textId="1A18817C" w:rsidR="005F3404" w:rsidRPr="007D53F2" w:rsidRDefault="005F3404" w:rsidP="007D53F2">
      <w:pPr>
        <w:pStyle w:val="NormalLtBlueBackground"/>
      </w:pPr>
      <w:r>
        <w:t>I</w:t>
      </w:r>
      <w:r w:rsidRPr="59BEB75F">
        <w:t xml:space="preserve">n the event </w:t>
      </w:r>
      <w:r w:rsidR="00AA3A38" w:rsidRPr="59BEB75F">
        <w:t>of questions or concerns</w:t>
      </w:r>
      <w:r w:rsidR="001F543A">
        <w:t xml:space="preserve"> c</w:t>
      </w:r>
      <w:r w:rsidR="00AA3A38" w:rsidRPr="59BEB75F">
        <w:t xml:space="preserve">all </w:t>
      </w:r>
      <w:r w:rsidR="001F543A" w:rsidRPr="007D53F2">
        <w:rPr>
          <w:color w:val="C00000"/>
        </w:rPr>
        <w:t xml:space="preserve">(insert name) </w:t>
      </w:r>
      <w:r w:rsidR="00AA3A38" w:rsidRPr="59BEB75F">
        <w:t xml:space="preserve">at </w:t>
      </w:r>
      <w:r w:rsidR="001F543A" w:rsidRPr="007D53F2">
        <w:rPr>
          <w:color w:val="C00000"/>
        </w:rPr>
        <w:t>(insert phone number)</w:t>
      </w:r>
      <w:r w:rsidR="001F543A">
        <w:t>.</w:t>
      </w:r>
    </w:p>
    <w:p w14:paraId="149C3E4E" w14:textId="674AC030" w:rsidR="00B26E21" w:rsidRPr="007D53F2" w:rsidRDefault="00B26E21" w:rsidP="00F20BDD">
      <w:pPr>
        <w:rPr>
          <w:rStyle w:val="Emphasis"/>
          <w:b/>
          <w:bCs/>
        </w:rPr>
      </w:pPr>
      <w:r w:rsidRPr="007D53F2">
        <w:rPr>
          <w:rStyle w:val="Emphasis"/>
          <w:b/>
          <w:bCs/>
        </w:rPr>
        <w:t>This protocol shall remain in effect until rescinded.</w:t>
      </w:r>
    </w:p>
    <w:p w14:paraId="5CC21B82" w14:textId="6E381E8A" w:rsidR="00B26E21" w:rsidRPr="008C3BED" w:rsidRDefault="00B26E21" w:rsidP="007D53F2">
      <w:pPr>
        <w:pStyle w:val="NormalLtBlueBackground"/>
        <w:rPr>
          <w:sz w:val="20"/>
          <w:szCs w:val="20"/>
        </w:rPr>
      </w:pPr>
      <w:r w:rsidRPr="008C3BED">
        <w:t>Name of prescriber</w:t>
      </w:r>
      <w:r w:rsidR="00D92BEB" w:rsidRPr="008C3BED">
        <w:t xml:space="preserve"> (please print)</w:t>
      </w:r>
      <w:r w:rsidRPr="008C3BED">
        <w:t>:</w:t>
      </w:r>
    </w:p>
    <w:p w14:paraId="1DA63381" w14:textId="4D547BF6" w:rsidR="00B26E21" w:rsidRPr="008C3BED" w:rsidRDefault="00E8409D" w:rsidP="007D53F2">
      <w:pPr>
        <w:pStyle w:val="NormalLtBlueBackground"/>
        <w:rPr>
          <w:sz w:val="20"/>
          <w:szCs w:val="20"/>
        </w:rPr>
      </w:pPr>
      <w:r w:rsidRPr="008C3BED">
        <w:t>Prescriber s</w:t>
      </w:r>
      <w:r w:rsidR="00B26E21" w:rsidRPr="008C3BED">
        <w:t>ignature:</w:t>
      </w:r>
    </w:p>
    <w:p w14:paraId="403FA0B3" w14:textId="67B66FCD" w:rsidR="00AA3A38" w:rsidRPr="007D53F2" w:rsidRDefault="00B26E21" w:rsidP="007D53F2">
      <w:pPr>
        <w:pStyle w:val="NormalLtBlueBackground"/>
        <w:rPr>
          <w:b/>
          <w:bCs/>
          <w:sz w:val="20"/>
          <w:szCs w:val="20"/>
        </w:rPr>
      </w:pPr>
      <w:r w:rsidRPr="008C3BED">
        <w:t>Date:</w:t>
      </w:r>
    </w:p>
    <w:sectPr w:rsidR="00AA3A38" w:rsidRPr="007D53F2" w:rsidSect="002B4203">
      <w:headerReference w:type="default" r:id="rId11"/>
      <w:footerReference w:type="default" r:id="rId12"/>
      <w:footerReference w:type="first" r:id="rId13"/>
      <w:type w:val="continuous"/>
      <w:pgSz w:w="12240" w:h="15840"/>
      <w:pgMar w:top="720" w:right="864" w:bottom="720" w:left="864"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10962" w14:textId="77777777" w:rsidR="000B3E7D" w:rsidRDefault="000B3E7D" w:rsidP="00D36495">
      <w:r>
        <w:separator/>
      </w:r>
    </w:p>
  </w:endnote>
  <w:endnote w:type="continuationSeparator" w:id="0">
    <w:p w14:paraId="759846F1" w14:textId="77777777" w:rsidR="000B3E7D" w:rsidRDefault="000B3E7D"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Courier New&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353500"/>
      <w:docPartObj>
        <w:docPartGallery w:val="Page Numbers (Bottom of Page)"/>
        <w:docPartUnique/>
      </w:docPartObj>
    </w:sdtPr>
    <w:sdtEndPr/>
    <w:sdtContent>
      <w:p w14:paraId="7D563BF6" w14:textId="02C22362" w:rsidR="000F7548" w:rsidRDefault="000F7548" w:rsidP="00B45CED">
        <w:pPr>
          <w:pStyle w:val="Header"/>
        </w:pPr>
        <w:r w:rsidRPr="007E537B">
          <w:fldChar w:fldCharType="begin"/>
        </w:r>
        <w:r w:rsidRPr="007E537B">
          <w:instrText xml:space="preserve"> PAGE   \* MERGEFORMAT </w:instrText>
        </w:r>
        <w:r w:rsidRPr="007E537B">
          <w:fldChar w:fldCharType="separate"/>
        </w:r>
        <w:r w:rsidR="006B2EAC">
          <w:rPr>
            <w:noProof/>
          </w:rPr>
          <w:t>4</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08BF0" w14:textId="44C33D08"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6B2EAC">
      <w:rPr>
        <w:rStyle w:val="HeaderChar"/>
        <w:noProof/>
      </w:rPr>
      <w:t>1</w:t>
    </w:r>
    <w:r w:rsidRPr="00EE4C86">
      <w:rPr>
        <w:rStyle w:val="HeaderCh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134D8" w14:textId="77777777" w:rsidR="000B3E7D" w:rsidRDefault="000B3E7D" w:rsidP="00D36495">
      <w:r>
        <w:separator/>
      </w:r>
    </w:p>
  </w:footnote>
  <w:footnote w:type="continuationSeparator" w:id="0">
    <w:p w14:paraId="6475C9E9" w14:textId="77777777" w:rsidR="000B3E7D" w:rsidRDefault="000B3E7D"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FC49F" w14:textId="116A9B2A" w:rsidR="00782710" w:rsidRPr="00C944BE" w:rsidRDefault="00C944BE" w:rsidP="00C944BE">
    <w:pPr>
      <w:pStyle w:val="Header"/>
    </w:pPr>
    <w:r>
      <w:t>Orthopox</w:t>
    </w:r>
    <w:r w:rsidRPr="00AD427C">
      <w:t xml:space="preserve"> </w:t>
    </w:r>
    <w:r w:rsidRPr="4FF46379">
      <w:t>Vaccine Protocol</w:t>
    </w:r>
    <w:r>
      <w:t>: JYNNEOS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hybridMultilevel"/>
    <w:tmpl w:val="3B129B08"/>
    <w:lvl w:ilvl="0" w:tplc="6B6219CA">
      <w:start w:val="1"/>
      <w:numFmt w:val="bullet"/>
      <w:pStyle w:val="ListBullet4"/>
      <w:lvlText w:val=""/>
      <w:lvlJc w:val="left"/>
      <w:pPr>
        <w:tabs>
          <w:tab w:val="num" w:pos="1440"/>
        </w:tabs>
        <w:ind w:left="1440" w:hanging="360"/>
      </w:pPr>
      <w:rPr>
        <w:rFonts w:ascii="Symbol" w:hAnsi="Symbol" w:hint="default"/>
      </w:rPr>
    </w:lvl>
    <w:lvl w:ilvl="1" w:tplc="CE48423E">
      <w:numFmt w:val="decimal"/>
      <w:lvlText w:val=""/>
      <w:lvlJc w:val="left"/>
    </w:lvl>
    <w:lvl w:ilvl="2" w:tplc="D5944056">
      <w:numFmt w:val="decimal"/>
      <w:lvlText w:val=""/>
      <w:lvlJc w:val="left"/>
    </w:lvl>
    <w:lvl w:ilvl="3" w:tplc="B350AA1A">
      <w:numFmt w:val="decimal"/>
      <w:lvlText w:val=""/>
      <w:lvlJc w:val="left"/>
    </w:lvl>
    <w:lvl w:ilvl="4" w:tplc="53205188">
      <w:numFmt w:val="decimal"/>
      <w:lvlText w:val=""/>
      <w:lvlJc w:val="left"/>
    </w:lvl>
    <w:lvl w:ilvl="5" w:tplc="61BE3A24">
      <w:numFmt w:val="decimal"/>
      <w:lvlText w:val=""/>
      <w:lvlJc w:val="left"/>
    </w:lvl>
    <w:lvl w:ilvl="6" w:tplc="C6788988">
      <w:numFmt w:val="decimal"/>
      <w:lvlText w:val=""/>
      <w:lvlJc w:val="left"/>
    </w:lvl>
    <w:lvl w:ilvl="7" w:tplc="CA9AF520">
      <w:numFmt w:val="decimal"/>
      <w:lvlText w:val=""/>
      <w:lvlJc w:val="left"/>
    </w:lvl>
    <w:lvl w:ilvl="8" w:tplc="6212D98A">
      <w:numFmt w:val="decimal"/>
      <w:lvlText w:val=""/>
      <w:lvlJc w:val="left"/>
    </w:lvl>
  </w:abstractNum>
  <w:abstractNum w:abstractNumId="2" w15:restartNumberingAfterBreak="0">
    <w:nsid w:val="001542BC"/>
    <w:multiLevelType w:val="multilevel"/>
    <w:tmpl w:val="3D44CA50"/>
    <w:numStyleLink w:val="ListStyle123"/>
  </w:abstractNum>
  <w:abstractNum w:abstractNumId="3" w15:restartNumberingAfterBreak="0">
    <w:nsid w:val="091352F7"/>
    <w:multiLevelType w:val="hybridMultilevel"/>
    <w:tmpl w:val="3D44CA50"/>
    <w:styleLink w:val="ListStyle123"/>
    <w:lvl w:ilvl="0" w:tplc="EC4A83DC">
      <w:start w:val="1"/>
      <w:numFmt w:val="decimal"/>
      <w:lvlText w:val="%1."/>
      <w:lvlJc w:val="left"/>
      <w:pPr>
        <w:ind w:left="432" w:hanging="432"/>
      </w:pPr>
      <w:rPr>
        <w:rFonts w:hint="default"/>
      </w:rPr>
    </w:lvl>
    <w:lvl w:ilvl="1" w:tplc="F2BE1632">
      <w:start w:val="1"/>
      <w:numFmt w:val="lowerLetter"/>
      <w:lvlText w:val="%2."/>
      <w:lvlJc w:val="left"/>
      <w:pPr>
        <w:ind w:left="864" w:hanging="432"/>
      </w:pPr>
      <w:rPr>
        <w:rFonts w:hint="default"/>
      </w:rPr>
    </w:lvl>
    <w:lvl w:ilvl="2" w:tplc="C756C87C">
      <w:start w:val="1"/>
      <w:numFmt w:val="lowerRoman"/>
      <w:lvlText w:val="%3."/>
      <w:lvlJc w:val="left"/>
      <w:pPr>
        <w:ind w:left="1296" w:hanging="432"/>
      </w:pPr>
      <w:rPr>
        <w:rFonts w:hint="default"/>
      </w:rPr>
    </w:lvl>
    <w:lvl w:ilvl="3" w:tplc="B468A006">
      <w:start w:val="1"/>
      <w:numFmt w:val="decimal"/>
      <w:lvlText w:val="%4."/>
      <w:lvlJc w:val="left"/>
      <w:pPr>
        <w:ind w:left="1728" w:hanging="432"/>
      </w:pPr>
      <w:rPr>
        <w:rFonts w:hint="default"/>
      </w:rPr>
    </w:lvl>
    <w:lvl w:ilvl="4" w:tplc="90C41736">
      <w:start w:val="1"/>
      <w:numFmt w:val="lowerLetter"/>
      <w:lvlText w:val="%5."/>
      <w:lvlJc w:val="left"/>
      <w:pPr>
        <w:ind w:left="2160" w:hanging="432"/>
      </w:pPr>
      <w:rPr>
        <w:rFonts w:hint="default"/>
      </w:rPr>
    </w:lvl>
    <w:lvl w:ilvl="5" w:tplc="D4F69104">
      <w:start w:val="1"/>
      <w:numFmt w:val="lowerRoman"/>
      <w:lvlText w:val="%6."/>
      <w:lvlJc w:val="right"/>
      <w:pPr>
        <w:ind w:left="4752" w:hanging="432"/>
      </w:pPr>
      <w:rPr>
        <w:rFonts w:hint="default"/>
      </w:rPr>
    </w:lvl>
    <w:lvl w:ilvl="6" w:tplc="E196EE76">
      <w:start w:val="1"/>
      <w:numFmt w:val="decimal"/>
      <w:lvlText w:val="%7."/>
      <w:lvlJc w:val="left"/>
      <w:pPr>
        <w:ind w:left="5616" w:hanging="432"/>
      </w:pPr>
      <w:rPr>
        <w:rFonts w:hint="default"/>
      </w:rPr>
    </w:lvl>
    <w:lvl w:ilvl="7" w:tplc="D8F60716">
      <w:start w:val="1"/>
      <w:numFmt w:val="lowerLetter"/>
      <w:lvlText w:val="%8."/>
      <w:lvlJc w:val="left"/>
      <w:pPr>
        <w:ind w:left="6480" w:hanging="432"/>
      </w:pPr>
      <w:rPr>
        <w:rFonts w:hint="default"/>
      </w:rPr>
    </w:lvl>
    <w:lvl w:ilvl="8" w:tplc="433EFBC2">
      <w:start w:val="1"/>
      <w:numFmt w:val="lowerRoman"/>
      <w:lvlText w:val="%9."/>
      <w:lvlJc w:val="right"/>
      <w:pPr>
        <w:ind w:left="7344" w:hanging="432"/>
      </w:pPr>
      <w:rPr>
        <w:rFonts w:hint="default"/>
      </w:rPr>
    </w:lvl>
  </w:abstractNum>
  <w:abstractNum w:abstractNumId="4" w15:restartNumberingAfterBreak="0">
    <w:nsid w:val="0EBD24E4"/>
    <w:multiLevelType w:val="hybridMultilevel"/>
    <w:tmpl w:val="EA9E4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DD35BA"/>
    <w:multiLevelType w:val="hybridMultilevel"/>
    <w:tmpl w:val="ED8A5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965865"/>
    <w:multiLevelType w:val="hybridMultilevel"/>
    <w:tmpl w:val="A2EA7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EDC13B7"/>
    <w:multiLevelType w:val="multilevel"/>
    <w:tmpl w:val="88B4C196"/>
    <w:numStyleLink w:val="Listbullets"/>
  </w:abstractNum>
  <w:abstractNum w:abstractNumId="8" w15:restartNumberingAfterBreak="0">
    <w:nsid w:val="23133EB0"/>
    <w:multiLevelType w:val="hybridMultilevel"/>
    <w:tmpl w:val="4D485494"/>
    <w:lvl w:ilvl="0" w:tplc="41F48E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2147EF"/>
    <w:multiLevelType w:val="multilevel"/>
    <w:tmpl w:val="88B4C196"/>
    <w:numStyleLink w:val="Listbullets"/>
  </w:abstractNum>
  <w:abstractNum w:abstractNumId="10" w15:restartNumberingAfterBreak="0">
    <w:nsid w:val="2A0C4978"/>
    <w:multiLevelType w:val="hybridMultilevel"/>
    <w:tmpl w:val="E9282276"/>
    <w:lvl w:ilvl="0" w:tplc="7B3E6B60">
      <w:start w:val="1"/>
      <w:numFmt w:val="bullet"/>
      <w:lvlText w:val=""/>
      <w:lvlJc w:val="left"/>
      <w:pPr>
        <w:ind w:left="540" w:hanging="360"/>
      </w:pPr>
      <w:rPr>
        <w:rFonts w:ascii="Symbol" w:hAnsi="Symbol" w:hint="default"/>
        <w:sz w:val="16"/>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15:restartNumberingAfterBreak="0">
    <w:nsid w:val="38C3513D"/>
    <w:multiLevelType w:val="hybridMultilevel"/>
    <w:tmpl w:val="88B4C196"/>
    <w:styleLink w:val="Listbullets"/>
    <w:lvl w:ilvl="0" w:tplc="9DC66590">
      <w:start w:val="1"/>
      <w:numFmt w:val="bullet"/>
      <w:pStyle w:val="ListBullet"/>
      <w:lvlText w:val="▪"/>
      <w:lvlJc w:val="left"/>
      <w:pPr>
        <w:tabs>
          <w:tab w:val="num" w:pos="432"/>
        </w:tabs>
        <w:ind w:left="360" w:hanging="360"/>
      </w:pPr>
      <w:rPr>
        <w:rFonts w:ascii="Calibri" w:hAnsi="Calibri" w:hint="default"/>
        <w:color w:val="008EAA"/>
      </w:rPr>
    </w:lvl>
    <w:lvl w:ilvl="1" w:tplc="A6186142">
      <w:start w:val="1"/>
      <w:numFmt w:val="bullet"/>
      <w:lvlText w:val="▪"/>
      <w:lvlJc w:val="left"/>
      <w:pPr>
        <w:tabs>
          <w:tab w:val="num" w:pos="792"/>
        </w:tabs>
        <w:ind w:left="720" w:hanging="360"/>
      </w:pPr>
      <w:rPr>
        <w:rFonts w:ascii="Calibri" w:hAnsi="Calibri" w:hint="default"/>
        <w:color w:val="008EAA"/>
      </w:rPr>
    </w:lvl>
    <w:lvl w:ilvl="2" w:tplc="BD8E7A32">
      <w:start w:val="1"/>
      <w:numFmt w:val="bullet"/>
      <w:lvlText w:val="▪"/>
      <w:lvlJc w:val="left"/>
      <w:pPr>
        <w:tabs>
          <w:tab w:val="num" w:pos="1152"/>
        </w:tabs>
        <w:ind w:left="1080" w:hanging="360"/>
      </w:pPr>
      <w:rPr>
        <w:rFonts w:ascii="Calibri" w:hAnsi="Calibri" w:hint="default"/>
        <w:color w:val="008EAA"/>
      </w:rPr>
    </w:lvl>
    <w:lvl w:ilvl="3" w:tplc="5158208C">
      <w:start w:val="1"/>
      <w:numFmt w:val="bullet"/>
      <w:lvlText w:val="▪"/>
      <w:lvlJc w:val="left"/>
      <w:pPr>
        <w:tabs>
          <w:tab w:val="num" w:pos="1512"/>
        </w:tabs>
        <w:ind w:left="1440" w:hanging="360"/>
      </w:pPr>
      <w:rPr>
        <w:rFonts w:ascii="Calibri" w:hAnsi="Calibri" w:hint="default"/>
        <w:color w:val="008EAA"/>
      </w:rPr>
    </w:lvl>
    <w:lvl w:ilvl="4" w:tplc="184EB666">
      <w:start w:val="1"/>
      <w:numFmt w:val="bullet"/>
      <w:lvlText w:val="o"/>
      <w:lvlJc w:val="left"/>
      <w:pPr>
        <w:tabs>
          <w:tab w:val="num" w:pos="1872"/>
        </w:tabs>
        <w:ind w:left="1800" w:hanging="360"/>
      </w:pPr>
      <w:rPr>
        <w:rFonts w:ascii="Calibri" w:hAnsi="Calibri" w:hint="default"/>
        <w:color w:val="008EAA"/>
      </w:rPr>
    </w:lvl>
    <w:lvl w:ilvl="5" w:tplc="E2EE53FA">
      <w:start w:val="1"/>
      <w:numFmt w:val="bullet"/>
      <w:lvlText w:val=""/>
      <w:lvlJc w:val="left"/>
      <w:pPr>
        <w:tabs>
          <w:tab w:val="num" w:pos="2232"/>
        </w:tabs>
        <w:ind w:left="2160" w:hanging="360"/>
      </w:pPr>
      <w:rPr>
        <w:rFonts w:ascii="Wingdings" w:hAnsi="Wingdings" w:hint="default"/>
      </w:rPr>
    </w:lvl>
    <w:lvl w:ilvl="6" w:tplc="2940BFF2">
      <w:start w:val="1"/>
      <w:numFmt w:val="bullet"/>
      <w:lvlText w:val=""/>
      <w:lvlJc w:val="left"/>
      <w:pPr>
        <w:tabs>
          <w:tab w:val="num" w:pos="2592"/>
        </w:tabs>
        <w:ind w:left="2520" w:hanging="360"/>
      </w:pPr>
      <w:rPr>
        <w:rFonts w:ascii="Symbol" w:hAnsi="Symbol" w:hint="default"/>
      </w:rPr>
    </w:lvl>
    <w:lvl w:ilvl="7" w:tplc="28AC9BE8">
      <w:start w:val="1"/>
      <w:numFmt w:val="bullet"/>
      <w:lvlText w:val="o"/>
      <w:lvlJc w:val="left"/>
      <w:pPr>
        <w:tabs>
          <w:tab w:val="num" w:pos="2952"/>
        </w:tabs>
        <w:ind w:left="2880" w:hanging="360"/>
      </w:pPr>
      <w:rPr>
        <w:rFonts w:ascii="Courier New" w:hAnsi="Courier New" w:cs="Courier New" w:hint="default"/>
      </w:rPr>
    </w:lvl>
    <w:lvl w:ilvl="8" w:tplc="AD12402A">
      <w:start w:val="1"/>
      <w:numFmt w:val="bullet"/>
      <w:lvlText w:val=""/>
      <w:lvlJc w:val="left"/>
      <w:pPr>
        <w:tabs>
          <w:tab w:val="num" w:pos="3312"/>
        </w:tabs>
        <w:ind w:left="3240" w:hanging="360"/>
      </w:pPr>
      <w:rPr>
        <w:rFonts w:ascii="Wingdings" w:hAnsi="Wingdings" w:hint="default"/>
      </w:rPr>
    </w:lvl>
  </w:abstractNum>
  <w:abstractNum w:abstractNumId="12" w15:restartNumberingAfterBreak="0">
    <w:nsid w:val="3B9A4A47"/>
    <w:multiLevelType w:val="hybridMultilevel"/>
    <w:tmpl w:val="F75E98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017321"/>
    <w:multiLevelType w:val="hybridMultilevel"/>
    <w:tmpl w:val="428EAFD4"/>
    <w:lvl w:ilvl="0" w:tplc="099E4B9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C765D9"/>
    <w:multiLevelType w:val="hybridMultilevel"/>
    <w:tmpl w:val="E1AAFBF2"/>
    <w:lvl w:ilvl="0" w:tplc="FD62371C">
      <w:start w:val="1"/>
      <w:numFmt w:val="decimal"/>
      <w:pStyle w:val="ListNumber"/>
      <w:lvlText w:val="%1."/>
      <w:lvlJc w:val="left"/>
      <w:pPr>
        <w:ind w:left="360" w:hanging="360"/>
      </w:pPr>
      <w:rPr>
        <w:rFonts w:hint="default"/>
        <w:sz w:val="20"/>
        <w:szCs w:val="20"/>
      </w:rPr>
    </w:lvl>
    <w:lvl w:ilvl="1" w:tplc="A88A28DC">
      <w:start w:val="1"/>
      <w:numFmt w:val="lowerLetter"/>
      <w:lvlText w:val="%2."/>
      <w:lvlJc w:val="left"/>
      <w:pPr>
        <w:ind w:left="720" w:hanging="360"/>
      </w:pPr>
      <w:rPr>
        <w:rFonts w:hint="default"/>
      </w:rPr>
    </w:lvl>
    <w:lvl w:ilvl="2" w:tplc="F36899C4">
      <w:start w:val="1"/>
      <w:numFmt w:val="lowerRoman"/>
      <w:lvlText w:val="%3."/>
      <w:lvlJc w:val="left"/>
      <w:pPr>
        <w:ind w:left="1080" w:hanging="360"/>
      </w:pPr>
      <w:rPr>
        <w:rFonts w:hint="default"/>
      </w:rPr>
    </w:lvl>
    <w:lvl w:ilvl="3" w:tplc="8EACE2D6">
      <w:start w:val="1"/>
      <w:numFmt w:val="decimal"/>
      <w:lvlText w:val="%4."/>
      <w:lvlJc w:val="left"/>
      <w:pPr>
        <w:ind w:left="1440" w:hanging="360"/>
      </w:pPr>
      <w:rPr>
        <w:rFonts w:hint="default"/>
      </w:rPr>
    </w:lvl>
    <w:lvl w:ilvl="4" w:tplc="D0C0CAAE">
      <w:start w:val="1"/>
      <w:numFmt w:val="lowerLetter"/>
      <w:lvlText w:val="%5."/>
      <w:lvlJc w:val="left"/>
      <w:pPr>
        <w:ind w:left="1800" w:hanging="360"/>
      </w:pPr>
      <w:rPr>
        <w:rFonts w:hint="default"/>
      </w:rPr>
    </w:lvl>
    <w:lvl w:ilvl="5" w:tplc="08ECB96A">
      <w:start w:val="1"/>
      <w:numFmt w:val="lowerRoman"/>
      <w:lvlText w:val="%6."/>
      <w:lvlJc w:val="right"/>
      <w:pPr>
        <w:ind w:left="2160" w:hanging="360"/>
      </w:pPr>
      <w:rPr>
        <w:rFonts w:hint="default"/>
      </w:rPr>
    </w:lvl>
    <w:lvl w:ilvl="6" w:tplc="855C7BC2">
      <w:start w:val="1"/>
      <w:numFmt w:val="decimal"/>
      <w:lvlText w:val="%7."/>
      <w:lvlJc w:val="left"/>
      <w:pPr>
        <w:ind w:left="2520" w:hanging="360"/>
      </w:pPr>
      <w:rPr>
        <w:rFonts w:hint="default"/>
      </w:rPr>
    </w:lvl>
    <w:lvl w:ilvl="7" w:tplc="491ABCFE">
      <w:start w:val="1"/>
      <w:numFmt w:val="lowerLetter"/>
      <w:lvlText w:val="%8."/>
      <w:lvlJc w:val="left"/>
      <w:pPr>
        <w:ind w:left="2880" w:hanging="360"/>
      </w:pPr>
      <w:rPr>
        <w:rFonts w:hint="default"/>
      </w:rPr>
    </w:lvl>
    <w:lvl w:ilvl="8" w:tplc="E5BE4AA4">
      <w:start w:val="1"/>
      <w:numFmt w:val="lowerRoman"/>
      <w:lvlText w:val="%9."/>
      <w:lvlJc w:val="right"/>
      <w:pPr>
        <w:ind w:left="3240" w:hanging="360"/>
      </w:pPr>
      <w:rPr>
        <w:rFonts w:hint="default"/>
      </w:rPr>
    </w:lvl>
  </w:abstractNum>
  <w:abstractNum w:abstractNumId="15" w15:restartNumberingAfterBreak="0">
    <w:nsid w:val="578F4CD9"/>
    <w:multiLevelType w:val="hybridMultilevel"/>
    <w:tmpl w:val="C1BA865E"/>
    <w:lvl w:ilvl="0" w:tplc="04090011">
      <w:start w:val="1"/>
      <w:numFmt w:val="decimal"/>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16" w15:restartNumberingAfterBreak="0">
    <w:nsid w:val="5AD61D90"/>
    <w:multiLevelType w:val="hybridMultilevel"/>
    <w:tmpl w:val="A2807FC2"/>
    <w:lvl w:ilvl="0" w:tplc="D1AC676A">
      <w:start w:val="1"/>
      <w:numFmt w:val="bullet"/>
      <w:lvlText w:val="·"/>
      <w:lvlJc w:val="left"/>
      <w:pPr>
        <w:ind w:left="720" w:hanging="360"/>
      </w:pPr>
      <w:rPr>
        <w:rFonts w:ascii="Symbol" w:hAnsi="Symbol" w:hint="default"/>
      </w:rPr>
    </w:lvl>
    <w:lvl w:ilvl="1" w:tplc="BB42710E">
      <w:start w:val="1"/>
      <w:numFmt w:val="bullet"/>
      <w:lvlText w:val="o"/>
      <w:lvlJc w:val="left"/>
      <w:pPr>
        <w:ind w:left="1440" w:hanging="360"/>
      </w:pPr>
      <w:rPr>
        <w:rFonts w:ascii="&quot;Courier New&quot;" w:hAnsi="&quot;Courier New&quot;" w:hint="default"/>
      </w:rPr>
    </w:lvl>
    <w:lvl w:ilvl="2" w:tplc="A99A0D00">
      <w:start w:val="1"/>
      <w:numFmt w:val="bullet"/>
      <w:lvlText w:val=""/>
      <w:lvlJc w:val="left"/>
      <w:pPr>
        <w:ind w:left="2160" w:hanging="360"/>
      </w:pPr>
      <w:rPr>
        <w:rFonts w:ascii="Wingdings" w:hAnsi="Wingdings" w:hint="default"/>
      </w:rPr>
    </w:lvl>
    <w:lvl w:ilvl="3" w:tplc="0ADAAD04">
      <w:start w:val="1"/>
      <w:numFmt w:val="bullet"/>
      <w:lvlText w:val=""/>
      <w:lvlJc w:val="left"/>
      <w:pPr>
        <w:ind w:left="2880" w:hanging="360"/>
      </w:pPr>
      <w:rPr>
        <w:rFonts w:ascii="Symbol" w:hAnsi="Symbol" w:hint="default"/>
      </w:rPr>
    </w:lvl>
    <w:lvl w:ilvl="4" w:tplc="16F299BC">
      <w:start w:val="1"/>
      <w:numFmt w:val="bullet"/>
      <w:lvlText w:val="o"/>
      <w:lvlJc w:val="left"/>
      <w:pPr>
        <w:ind w:left="3600" w:hanging="360"/>
      </w:pPr>
      <w:rPr>
        <w:rFonts w:ascii="Courier New" w:hAnsi="Courier New" w:hint="default"/>
      </w:rPr>
    </w:lvl>
    <w:lvl w:ilvl="5" w:tplc="340AD192">
      <w:start w:val="1"/>
      <w:numFmt w:val="bullet"/>
      <w:lvlText w:val=""/>
      <w:lvlJc w:val="left"/>
      <w:pPr>
        <w:ind w:left="4320" w:hanging="360"/>
      </w:pPr>
      <w:rPr>
        <w:rFonts w:ascii="Wingdings" w:hAnsi="Wingdings" w:hint="default"/>
      </w:rPr>
    </w:lvl>
    <w:lvl w:ilvl="6" w:tplc="5EC0490E">
      <w:start w:val="1"/>
      <w:numFmt w:val="bullet"/>
      <w:lvlText w:val=""/>
      <w:lvlJc w:val="left"/>
      <w:pPr>
        <w:ind w:left="5040" w:hanging="360"/>
      </w:pPr>
      <w:rPr>
        <w:rFonts w:ascii="Symbol" w:hAnsi="Symbol" w:hint="default"/>
      </w:rPr>
    </w:lvl>
    <w:lvl w:ilvl="7" w:tplc="F1E44FC0">
      <w:start w:val="1"/>
      <w:numFmt w:val="bullet"/>
      <w:lvlText w:val="o"/>
      <w:lvlJc w:val="left"/>
      <w:pPr>
        <w:ind w:left="5760" w:hanging="360"/>
      </w:pPr>
      <w:rPr>
        <w:rFonts w:ascii="Courier New" w:hAnsi="Courier New" w:hint="default"/>
      </w:rPr>
    </w:lvl>
    <w:lvl w:ilvl="8" w:tplc="E2DEFEAE">
      <w:start w:val="1"/>
      <w:numFmt w:val="bullet"/>
      <w:lvlText w:val=""/>
      <w:lvlJc w:val="left"/>
      <w:pPr>
        <w:ind w:left="6480" w:hanging="360"/>
      </w:pPr>
      <w:rPr>
        <w:rFonts w:ascii="Wingdings" w:hAnsi="Wingdings" w:hint="default"/>
      </w:rPr>
    </w:lvl>
  </w:abstractNum>
  <w:abstractNum w:abstractNumId="17"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D53883"/>
    <w:multiLevelType w:val="hybridMultilevel"/>
    <w:tmpl w:val="674C28D8"/>
    <w:lvl w:ilvl="0" w:tplc="5466594A">
      <w:start w:val="1"/>
      <w:numFmt w:val="bullet"/>
      <w:lvlText w:val=""/>
      <w:lvlJc w:val="left"/>
      <w:pPr>
        <w:ind w:left="360" w:hanging="360"/>
      </w:pPr>
      <w:rPr>
        <w:rFonts w:ascii="Wingdings" w:hAnsi="Wingdings" w:hint="default"/>
        <w:color w:val="0281A2"/>
      </w:rPr>
    </w:lvl>
    <w:lvl w:ilvl="1" w:tplc="E0607E26">
      <w:start w:val="1"/>
      <w:numFmt w:val="bullet"/>
      <w:lvlText w:val="▪"/>
      <w:lvlJc w:val="left"/>
      <w:pPr>
        <w:tabs>
          <w:tab w:val="num" w:pos="864"/>
        </w:tabs>
        <w:ind w:left="864" w:hanging="432"/>
      </w:pPr>
      <w:rPr>
        <w:rFonts w:ascii="Calibri" w:hAnsi="Calibri" w:hint="default"/>
        <w:color w:val="78BE21" w:themeColor="accent2"/>
      </w:rPr>
    </w:lvl>
    <w:lvl w:ilvl="2" w:tplc="D982080A">
      <w:start w:val="1"/>
      <w:numFmt w:val="bullet"/>
      <w:lvlText w:val="▪"/>
      <w:lvlJc w:val="left"/>
      <w:pPr>
        <w:tabs>
          <w:tab w:val="num" w:pos="1296"/>
        </w:tabs>
        <w:ind w:left="1296" w:hanging="432"/>
      </w:pPr>
      <w:rPr>
        <w:rFonts w:ascii="Calibri" w:hAnsi="Calibri" w:hint="default"/>
        <w:color w:val="78BE21" w:themeColor="accent2"/>
      </w:rPr>
    </w:lvl>
    <w:lvl w:ilvl="3" w:tplc="BD92258E">
      <w:start w:val="1"/>
      <w:numFmt w:val="bullet"/>
      <w:lvlText w:val="▪"/>
      <w:lvlJc w:val="left"/>
      <w:pPr>
        <w:tabs>
          <w:tab w:val="num" w:pos="1728"/>
        </w:tabs>
        <w:ind w:left="1728" w:hanging="432"/>
      </w:pPr>
      <w:rPr>
        <w:rFonts w:ascii="Calibri" w:hAnsi="Calibri" w:hint="default"/>
        <w:color w:val="78BE21" w:themeColor="accent2"/>
      </w:rPr>
    </w:lvl>
    <w:lvl w:ilvl="4" w:tplc="33C69256">
      <w:start w:val="1"/>
      <w:numFmt w:val="bullet"/>
      <w:lvlText w:val="o"/>
      <w:lvlJc w:val="left"/>
      <w:pPr>
        <w:tabs>
          <w:tab w:val="num" w:pos="2160"/>
        </w:tabs>
        <w:ind w:left="2160" w:hanging="432"/>
      </w:pPr>
      <w:rPr>
        <w:rFonts w:ascii="Courier New" w:hAnsi="Courier New" w:hint="default"/>
      </w:rPr>
    </w:lvl>
    <w:lvl w:ilvl="5" w:tplc="931E7328">
      <w:start w:val="1"/>
      <w:numFmt w:val="bullet"/>
      <w:lvlText w:val=""/>
      <w:lvlJc w:val="left"/>
      <w:pPr>
        <w:tabs>
          <w:tab w:val="num" w:pos="2160"/>
        </w:tabs>
        <w:ind w:left="2592" w:hanging="432"/>
      </w:pPr>
      <w:rPr>
        <w:rFonts w:ascii="Wingdings" w:hAnsi="Wingdings" w:hint="default"/>
      </w:rPr>
    </w:lvl>
    <w:lvl w:ilvl="6" w:tplc="623645D0">
      <w:start w:val="1"/>
      <w:numFmt w:val="bullet"/>
      <w:lvlText w:val=""/>
      <w:lvlJc w:val="left"/>
      <w:pPr>
        <w:tabs>
          <w:tab w:val="num" w:pos="2592"/>
        </w:tabs>
        <w:ind w:left="3024" w:hanging="432"/>
      </w:pPr>
      <w:rPr>
        <w:rFonts w:ascii="Symbol" w:hAnsi="Symbol" w:hint="default"/>
      </w:rPr>
    </w:lvl>
    <w:lvl w:ilvl="7" w:tplc="9378DAD6">
      <w:start w:val="1"/>
      <w:numFmt w:val="bullet"/>
      <w:lvlText w:val="o"/>
      <w:lvlJc w:val="left"/>
      <w:pPr>
        <w:tabs>
          <w:tab w:val="num" w:pos="3456"/>
        </w:tabs>
        <w:ind w:left="3456" w:hanging="432"/>
      </w:pPr>
      <w:rPr>
        <w:rFonts w:ascii="Courier New" w:hAnsi="Courier New" w:cs="Courier New" w:hint="default"/>
      </w:rPr>
    </w:lvl>
    <w:lvl w:ilvl="8" w:tplc="FA005AD6">
      <w:start w:val="1"/>
      <w:numFmt w:val="bullet"/>
      <w:lvlText w:val=""/>
      <w:lvlJc w:val="left"/>
      <w:pPr>
        <w:tabs>
          <w:tab w:val="num" w:pos="3888"/>
        </w:tabs>
        <w:ind w:left="3888" w:hanging="432"/>
      </w:pPr>
      <w:rPr>
        <w:rFonts w:ascii="Wingdings" w:hAnsi="Wingdings" w:hint="default"/>
      </w:rPr>
    </w:lvl>
  </w:abstractNum>
  <w:num w:numId="1" w16cid:durableId="300624129">
    <w:abstractNumId w:val="16"/>
  </w:num>
  <w:num w:numId="2" w16cid:durableId="739325403">
    <w:abstractNumId w:val="1"/>
  </w:num>
  <w:num w:numId="3" w16cid:durableId="106004042">
    <w:abstractNumId w:val="0"/>
  </w:num>
  <w:num w:numId="4" w16cid:durableId="687946493">
    <w:abstractNumId w:val="11"/>
  </w:num>
  <w:num w:numId="5" w16cid:durableId="1765299252">
    <w:abstractNumId w:val="18"/>
  </w:num>
  <w:num w:numId="6" w16cid:durableId="313337357">
    <w:abstractNumId w:val="3"/>
  </w:num>
  <w:num w:numId="7" w16cid:durableId="517231757">
    <w:abstractNumId w:val="2"/>
  </w:num>
  <w:num w:numId="8" w16cid:durableId="156071018">
    <w:abstractNumId w:val="9"/>
  </w:num>
  <w:num w:numId="9" w16cid:durableId="1649892460">
    <w:abstractNumId w:val="7"/>
  </w:num>
  <w:num w:numId="10" w16cid:durableId="1059744909">
    <w:abstractNumId w:val="17"/>
  </w:num>
  <w:num w:numId="11" w16cid:durableId="825706611">
    <w:abstractNumId w:val="14"/>
  </w:num>
  <w:num w:numId="12" w16cid:durableId="1674910764">
    <w:abstractNumId w:val="8"/>
  </w:num>
  <w:num w:numId="13" w16cid:durableId="1223560892">
    <w:abstractNumId w:val="10"/>
  </w:num>
  <w:num w:numId="14" w16cid:durableId="1906060376">
    <w:abstractNumId w:val="6"/>
  </w:num>
  <w:num w:numId="15" w16cid:durableId="1293753509">
    <w:abstractNumId w:val="13"/>
  </w:num>
  <w:num w:numId="16" w16cid:durableId="1593393910">
    <w:abstractNumId w:val="15"/>
  </w:num>
  <w:num w:numId="17" w16cid:durableId="1376925545">
    <w:abstractNumId w:val="12"/>
  </w:num>
  <w:num w:numId="18" w16cid:durableId="235944921">
    <w:abstractNumId w:val="14"/>
    <w:lvlOverride w:ilvl="0">
      <w:startOverride w:val="1"/>
    </w:lvlOverride>
  </w:num>
  <w:num w:numId="19" w16cid:durableId="1684014169">
    <w:abstractNumId w:val="14"/>
    <w:lvlOverride w:ilvl="0">
      <w:startOverride w:val="1"/>
    </w:lvlOverride>
  </w:num>
  <w:num w:numId="20" w16cid:durableId="1347361753">
    <w:abstractNumId w:val="4"/>
  </w:num>
  <w:num w:numId="21" w16cid:durableId="106085879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E7D"/>
    <w:rsid w:val="000009FC"/>
    <w:rsid w:val="00001775"/>
    <w:rsid w:val="000021B3"/>
    <w:rsid w:val="000050B3"/>
    <w:rsid w:val="0000588B"/>
    <w:rsid w:val="00006C0D"/>
    <w:rsid w:val="00006CDB"/>
    <w:rsid w:val="00007022"/>
    <w:rsid w:val="000075C5"/>
    <w:rsid w:val="00007995"/>
    <w:rsid w:val="00010174"/>
    <w:rsid w:val="00010828"/>
    <w:rsid w:val="00011548"/>
    <w:rsid w:val="000117CE"/>
    <w:rsid w:val="00013349"/>
    <w:rsid w:val="00013DF1"/>
    <w:rsid w:val="00015C84"/>
    <w:rsid w:val="00017839"/>
    <w:rsid w:val="00017AF7"/>
    <w:rsid w:val="00017D52"/>
    <w:rsid w:val="0002112F"/>
    <w:rsid w:val="00022309"/>
    <w:rsid w:val="0002249D"/>
    <w:rsid w:val="00022A4C"/>
    <w:rsid w:val="0002353B"/>
    <w:rsid w:val="00024A86"/>
    <w:rsid w:val="00025C98"/>
    <w:rsid w:val="000267D5"/>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22D"/>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3E35"/>
    <w:rsid w:val="00065579"/>
    <w:rsid w:val="00065611"/>
    <w:rsid w:val="000657C4"/>
    <w:rsid w:val="00066679"/>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712"/>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3B5"/>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3E7D"/>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830"/>
    <w:rsid w:val="000F1FDA"/>
    <w:rsid w:val="000F252A"/>
    <w:rsid w:val="000F30A3"/>
    <w:rsid w:val="000F3386"/>
    <w:rsid w:val="000F6971"/>
    <w:rsid w:val="000F7548"/>
    <w:rsid w:val="000F78F6"/>
    <w:rsid w:val="000F7F0E"/>
    <w:rsid w:val="001000AB"/>
    <w:rsid w:val="00100D08"/>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0C"/>
    <w:rsid w:val="0014091D"/>
    <w:rsid w:val="00140A53"/>
    <w:rsid w:val="00140A58"/>
    <w:rsid w:val="001415AF"/>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67C"/>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F61"/>
    <w:rsid w:val="00185403"/>
    <w:rsid w:val="00185912"/>
    <w:rsid w:val="00185DE4"/>
    <w:rsid w:val="0018770D"/>
    <w:rsid w:val="00190EB2"/>
    <w:rsid w:val="00191E21"/>
    <w:rsid w:val="00192ED2"/>
    <w:rsid w:val="001941DC"/>
    <w:rsid w:val="0019499A"/>
    <w:rsid w:val="00194CEB"/>
    <w:rsid w:val="0019552D"/>
    <w:rsid w:val="00195CC6"/>
    <w:rsid w:val="00196549"/>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5B5"/>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3C8B"/>
    <w:rsid w:val="001D421C"/>
    <w:rsid w:val="001D4322"/>
    <w:rsid w:val="001D4622"/>
    <w:rsid w:val="001D4704"/>
    <w:rsid w:val="001D4A05"/>
    <w:rsid w:val="001D4D3E"/>
    <w:rsid w:val="001D51E2"/>
    <w:rsid w:val="001D69F3"/>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318E"/>
    <w:rsid w:val="001F3A49"/>
    <w:rsid w:val="001F3F10"/>
    <w:rsid w:val="001F5341"/>
    <w:rsid w:val="001F543A"/>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3CF"/>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6C1"/>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38F"/>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76B87"/>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03"/>
    <w:rsid w:val="002B423A"/>
    <w:rsid w:val="002B4BA5"/>
    <w:rsid w:val="002B52AB"/>
    <w:rsid w:val="002B5BC6"/>
    <w:rsid w:val="002B63E1"/>
    <w:rsid w:val="002B6677"/>
    <w:rsid w:val="002B6D66"/>
    <w:rsid w:val="002B7711"/>
    <w:rsid w:val="002C1C30"/>
    <w:rsid w:val="002C35CD"/>
    <w:rsid w:val="002C3F0D"/>
    <w:rsid w:val="002C40FA"/>
    <w:rsid w:val="002C4324"/>
    <w:rsid w:val="002C4704"/>
    <w:rsid w:val="002C58F8"/>
    <w:rsid w:val="002C6220"/>
    <w:rsid w:val="002C6500"/>
    <w:rsid w:val="002C6F89"/>
    <w:rsid w:val="002C6FE8"/>
    <w:rsid w:val="002C7FE8"/>
    <w:rsid w:val="002D023A"/>
    <w:rsid w:val="002D08A9"/>
    <w:rsid w:val="002D093E"/>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0DC5"/>
    <w:rsid w:val="0030124E"/>
    <w:rsid w:val="003013B3"/>
    <w:rsid w:val="00302059"/>
    <w:rsid w:val="0030298A"/>
    <w:rsid w:val="00304A4C"/>
    <w:rsid w:val="003050F9"/>
    <w:rsid w:val="0030560B"/>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1ABC"/>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CEF"/>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D60"/>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531"/>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A1D"/>
    <w:rsid w:val="00404F85"/>
    <w:rsid w:val="00405658"/>
    <w:rsid w:val="00405A6F"/>
    <w:rsid w:val="004061AA"/>
    <w:rsid w:val="00406DE8"/>
    <w:rsid w:val="004074C2"/>
    <w:rsid w:val="004103E1"/>
    <w:rsid w:val="00412215"/>
    <w:rsid w:val="00412567"/>
    <w:rsid w:val="0041287A"/>
    <w:rsid w:val="00412ADB"/>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6A28"/>
    <w:rsid w:val="00446D41"/>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9BF"/>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A6CD8"/>
    <w:rsid w:val="004B0BF4"/>
    <w:rsid w:val="004B0FF2"/>
    <w:rsid w:val="004B10DC"/>
    <w:rsid w:val="004B1291"/>
    <w:rsid w:val="004B134E"/>
    <w:rsid w:val="004B1843"/>
    <w:rsid w:val="004B1B03"/>
    <w:rsid w:val="004B3115"/>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1E61"/>
    <w:rsid w:val="004E25CC"/>
    <w:rsid w:val="004E331F"/>
    <w:rsid w:val="004E41CB"/>
    <w:rsid w:val="004E499D"/>
    <w:rsid w:val="004E4CAE"/>
    <w:rsid w:val="004E4DCE"/>
    <w:rsid w:val="004E5336"/>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17ABE"/>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20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38C"/>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76EB8"/>
    <w:rsid w:val="00581795"/>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816"/>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A82"/>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404"/>
    <w:rsid w:val="005F388B"/>
    <w:rsid w:val="005F4455"/>
    <w:rsid w:val="005F4648"/>
    <w:rsid w:val="005F4F96"/>
    <w:rsid w:val="005F5E9E"/>
    <w:rsid w:val="005F69F1"/>
    <w:rsid w:val="005F6DD2"/>
    <w:rsid w:val="005F7AA9"/>
    <w:rsid w:val="00602D69"/>
    <w:rsid w:val="00604865"/>
    <w:rsid w:val="00604C16"/>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BF7"/>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237"/>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0C"/>
    <w:rsid w:val="00675033"/>
    <w:rsid w:val="00675919"/>
    <w:rsid w:val="00675CFB"/>
    <w:rsid w:val="00676A67"/>
    <w:rsid w:val="00680BC8"/>
    <w:rsid w:val="00681464"/>
    <w:rsid w:val="00683883"/>
    <w:rsid w:val="006841D5"/>
    <w:rsid w:val="00685568"/>
    <w:rsid w:val="00685B45"/>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1B5"/>
    <w:rsid w:val="006A5A39"/>
    <w:rsid w:val="006A5E00"/>
    <w:rsid w:val="006A673A"/>
    <w:rsid w:val="006A6815"/>
    <w:rsid w:val="006B0217"/>
    <w:rsid w:val="006B0337"/>
    <w:rsid w:val="006B0AD0"/>
    <w:rsid w:val="006B18A2"/>
    <w:rsid w:val="006B1A06"/>
    <w:rsid w:val="006B1A5B"/>
    <w:rsid w:val="006B2EAC"/>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4D5C"/>
    <w:rsid w:val="006D690D"/>
    <w:rsid w:val="006D7009"/>
    <w:rsid w:val="006D751B"/>
    <w:rsid w:val="006E12BB"/>
    <w:rsid w:val="006E1788"/>
    <w:rsid w:val="006E17EA"/>
    <w:rsid w:val="006E2424"/>
    <w:rsid w:val="006E2D22"/>
    <w:rsid w:val="006E303E"/>
    <w:rsid w:val="006E350D"/>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504"/>
    <w:rsid w:val="00711E37"/>
    <w:rsid w:val="007144FE"/>
    <w:rsid w:val="00714586"/>
    <w:rsid w:val="00714D8F"/>
    <w:rsid w:val="0071546B"/>
    <w:rsid w:val="00716254"/>
    <w:rsid w:val="00716905"/>
    <w:rsid w:val="007203CE"/>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0E9"/>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3F2"/>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190"/>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2644"/>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A6CDE"/>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BED"/>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6A1"/>
    <w:rsid w:val="008D57E4"/>
    <w:rsid w:val="008D59CC"/>
    <w:rsid w:val="008D5A53"/>
    <w:rsid w:val="008D5DE2"/>
    <w:rsid w:val="008D603D"/>
    <w:rsid w:val="008D6390"/>
    <w:rsid w:val="008E0E9A"/>
    <w:rsid w:val="008E126C"/>
    <w:rsid w:val="008E13CD"/>
    <w:rsid w:val="008E470A"/>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635"/>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0B6B"/>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9C1"/>
    <w:rsid w:val="00A02F9C"/>
    <w:rsid w:val="00A03F6E"/>
    <w:rsid w:val="00A04493"/>
    <w:rsid w:val="00A044B1"/>
    <w:rsid w:val="00A04A25"/>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0E55"/>
    <w:rsid w:val="00A71358"/>
    <w:rsid w:val="00A7262B"/>
    <w:rsid w:val="00A730BD"/>
    <w:rsid w:val="00A7331C"/>
    <w:rsid w:val="00A735D7"/>
    <w:rsid w:val="00A7377B"/>
    <w:rsid w:val="00A73B77"/>
    <w:rsid w:val="00A73DE0"/>
    <w:rsid w:val="00A7411B"/>
    <w:rsid w:val="00A74820"/>
    <w:rsid w:val="00A7499C"/>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CDA"/>
    <w:rsid w:val="00AA2E22"/>
    <w:rsid w:val="00AA3A38"/>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D7C62"/>
    <w:rsid w:val="00AE079E"/>
    <w:rsid w:val="00AE0AC3"/>
    <w:rsid w:val="00AE0B25"/>
    <w:rsid w:val="00AE2320"/>
    <w:rsid w:val="00AE30B7"/>
    <w:rsid w:val="00AE3A15"/>
    <w:rsid w:val="00AE4658"/>
    <w:rsid w:val="00AE469E"/>
    <w:rsid w:val="00AE52B9"/>
    <w:rsid w:val="00AE6007"/>
    <w:rsid w:val="00AE617C"/>
    <w:rsid w:val="00AE638D"/>
    <w:rsid w:val="00AE654D"/>
    <w:rsid w:val="00AE7018"/>
    <w:rsid w:val="00AE75D1"/>
    <w:rsid w:val="00AE791E"/>
    <w:rsid w:val="00AF0641"/>
    <w:rsid w:val="00AF0D73"/>
    <w:rsid w:val="00AF1916"/>
    <w:rsid w:val="00AF24E5"/>
    <w:rsid w:val="00AF25BE"/>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26E21"/>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04"/>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861"/>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42B"/>
    <w:rsid w:val="00BF165A"/>
    <w:rsid w:val="00BF1A96"/>
    <w:rsid w:val="00BF2133"/>
    <w:rsid w:val="00BF258C"/>
    <w:rsid w:val="00BF289D"/>
    <w:rsid w:val="00BF2EA4"/>
    <w:rsid w:val="00BF329C"/>
    <w:rsid w:val="00BF32FE"/>
    <w:rsid w:val="00BF387C"/>
    <w:rsid w:val="00BF46C0"/>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55E0"/>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3EB4"/>
    <w:rsid w:val="00C24A54"/>
    <w:rsid w:val="00C253DD"/>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4F69"/>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0BD9"/>
    <w:rsid w:val="00C829EA"/>
    <w:rsid w:val="00C82BD2"/>
    <w:rsid w:val="00C82F00"/>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4BE"/>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7E6"/>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40C"/>
    <w:rsid w:val="00D37C6F"/>
    <w:rsid w:val="00D37D8B"/>
    <w:rsid w:val="00D416FE"/>
    <w:rsid w:val="00D432E5"/>
    <w:rsid w:val="00D43A2C"/>
    <w:rsid w:val="00D43B51"/>
    <w:rsid w:val="00D448F0"/>
    <w:rsid w:val="00D44FF3"/>
    <w:rsid w:val="00D4598F"/>
    <w:rsid w:val="00D45AFE"/>
    <w:rsid w:val="00D45F37"/>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2BEB"/>
    <w:rsid w:val="00D9465C"/>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E784B"/>
    <w:rsid w:val="00DF1346"/>
    <w:rsid w:val="00DF1F0C"/>
    <w:rsid w:val="00DF1F47"/>
    <w:rsid w:val="00DF2B47"/>
    <w:rsid w:val="00DF2DFD"/>
    <w:rsid w:val="00DF2FAD"/>
    <w:rsid w:val="00DF34C2"/>
    <w:rsid w:val="00DF38C2"/>
    <w:rsid w:val="00DF4888"/>
    <w:rsid w:val="00DF4C44"/>
    <w:rsid w:val="00DF4E8B"/>
    <w:rsid w:val="00DF5548"/>
    <w:rsid w:val="00DF5A72"/>
    <w:rsid w:val="00DF669D"/>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409D"/>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4D3A"/>
    <w:rsid w:val="00E95062"/>
    <w:rsid w:val="00E97045"/>
    <w:rsid w:val="00E97C92"/>
    <w:rsid w:val="00EA09CD"/>
    <w:rsid w:val="00EA09F6"/>
    <w:rsid w:val="00EA0A52"/>
    <w:rsid w:val="00EA0E73"/>
    <w:rsid w:val="00EA0EF6"/>
    <w:rsid w:val="00EA114D"/>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7BBF"/>
    <w:rsid w:val="00EB7EF3"/>
    <w:rsid w:val="00EC06D8"/>
    <w:rsid w:val="00EC2780"/>
    <w:rsid w:val="00EC2B83"/>
    <w:rsid w:val="00EC320A"/>
    <w:rsid w:val="00EC35E7"/>
    <w:rsid w:val="00EC36C5"/>
    <w:rsid w:val="00EC36E3"/>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4CAE"/>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4D2"/>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0BDD"/>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37DFF"/>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0ED9"/>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3AE0"/>
    <w:rsid w:val="00FA45D6"/>
    <w:rsid w:val="00FA4AF8"/>
    <w:rsid w:val="00FA6D1D"/>
    <w:rsid w:val="00FB009E"/>
    <w:rsid w:val="00FB035A"/>
    <w:rsid w:val="00FB0AB5"/>
    <w:rsid w:val="00FB12EA"/>
    <w:rsid w:val="00FB135F"/>
    <w:rsid w:val="00FB235F"/>
    <w:rsid w:val="00FB3FDE"/>
    <w:rsid w:val="00FB56BC"/>
    <w:rsid w:val="00FB60FB"/>
    <w:rsid w:val="00FB640A"/>
    <w:rsid w:val="00FB688E"/>
    <w:rsid w:val="00FB72C1"/>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 w:val="06C91713"/>
    <w:rsid w:val="07DE3CAB"/>
    <w:rsid w:val="08056DA4"/>
    <w:rsid w:val="08DFC4EF"/>
    <w:rsid w:val="0B088285"/>
    <w:rsid w:val="0B99C256"/>
    <w:rsid w:val="0BF457F2"/>
    <w:rsid w:val="0D902853"/>
    <w:rsid w:val="120E12CB"/>
    <w:rsid w:val="12702003"/>
    <w:rsid w:val="15A2BC26"/>
    <w:rsid w:val="16172696"/>
    <w:rsid w:val="18504E97"/>
    <w:rsid w:val="18B26405"/>
    <w:rsid w:val="1A7CA9BA"/>
    <w:rsid w:val="1B0F63B6"/>
    <w:rsid w:val="1CF549FB"/>
    <w:rsid w:val="1E6268F7"/>
    <w:rsid w:val="21103623"/>
    <w:rsid w:val="23828AC3"/>
    <w:rsid w:val="25C500CB"/>
    <w:rsid w:val="28A52810"/>
    <w:rsid w:val="2A6BF317"/>
    <w:rsid w:val="2A73944E"/>
    <w:rsid w:val="2B486CE2"/>
    <w:rsid w:val="2E9EFE7E"/>
    <w:rsid w:val="2F603E47"/>
    <w:rsid w:val="3059B8B8"/>
    <w:rsid w:val="31C1F411"/>
    <w:rsid w:val="327EA633"/>
    <w:rsid w:val="33665C2D"/>
    <w:rsid w:val="34889A51"/>
    <w:rsid w:val="349DB074"/>
    <w:rsid w:val="3589FE77"/>
    <w:rsid w:val="35B646F5"/>
    <w:rsid w:val="368CCECB"/>
    <w:rsid w:val="3741B5C1"/>
    <w:rsid w:val="39A244AC"/>
    <w:rsid w:val="3A56FA67"/>
    <w:rsid w:val="3A6F2248"/>
    <w:rsid w:val="3B5CEB8D"/>
    <w:rsid w:val="3D926740"/>
    <w:rsid w:val="3DADD1AB"/>
    <w:rsid w:val="3EB51BCD"/>
    <w:rsid w:val="418ECF8E"/>
    <w:rsid w:val="419C52C0"/>
    <w:rsid w:val="428AA7B8"/>
    <w:rsid w:val="46117CF7"/>
    <w:rsid w:val="48B4D0A2"/>
    <w:rsid w:val="497A6723"/>
    <w:rsid w:val="49F7CE74"/>
    <w:rsid w:val="4A72C35A"/>
    <w:rsid w:val="4A946902"/>
    <w:rsid w:val="4B2B0348"/>
    <w:rsid w:val="4D1800AD"/>
    <w:rsid w:val="4F3519B9"/>
    <w:rsid w:val="4F62122E"/>
    <w:rsid w:val="503D17E6"/>
    <w:rsid w:val="51811C6F"/>
    <w:rsid w:val="56C3F70A"/>
    <w:rsid w:val="58C7DEC2"/>
    <w:rsid w:val="59BEB75F"/>
    <w:rsid w:val="59E2CC37"/>
    <w:rsid w:val="5B614656"/>
    <w:rsid w:val="5CA0265B"/>
    <w:rsid w:val="5D4B7CFE"/>
    <w:rsid w:val="5D7032A2"/>
    <w:rsid w:val="5DB79209"/>
    <w:rsid w:val="5FD8460C"/>
    <w:rsid w:val="60EE0FCF"/>
    <w:rsid w:val="60EF32CB"/>
    <w:rsid w:val="6173977E"/>
    <w:rsid w:val="617E4975"/>
    <w:rsid w:val="61C8C6AA"/>
    <w:rsid w:val="61EEA0EF"/>
    <w:rsid w:val="641DDE9C"/>
    <w:rsid w:val="6612171E"/>
    <w:rsid w:val="685339DC"/>
    <w:rsid w:val="69C27162"/>
    <w:rsid w:val="6AE80CD9"/>
    <w:rsid w:val="6B10F22C"/>
    <w:rsid w:val="6B5A3837"/>
    <w:rsid w:val="6C58C251"/>
    <w:rsid w:val="6C8158A2"/>
    <w:rsid w:val="6E251689"/>
    <w:rsid w:val="6FEECD38"/>
    <w:rsid w:val="7058A028"/>
    <w:rsid w:val="7150E9D6"/>
    <w:rsid w:val="734FC6A4"/>
    <w:rsid w:val="742EE3A8"/>
    <w:rsid w:val="7489AF76"/>
    <w:rsid w:val="74ADC5E8"/>
    <w:rsid w:val="77B2D072"/>
    <w:rsid w:val="7807D348"/>
    <w:rsid w:val="79839256"/>
    <w:rsid w:val="7B4D3B52"/>
    <w:rsid w:val="7DA6A3DE"/>
    <w:rsid w:val="7E3B3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9D26192"/>
  <w15:docId w15:val="{445CD10E-AB36-414E-BE8B-9C4F369D5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F61439"/>
    <w:pPr>
      <w:suppressAutoHyphens/>
      <w:spacing w:before="120" w:after="120"/>
    </w:pPr>
    <w:rPr>
      <w:sz w:val="24"/>
    </w:rPr>
  </w:style>
  <w:style w:type="paragraph" w:styleId="Heading1">
    <w:name w:val="heading 1"/>
    <w:aliases w:val="H1 Title"/>
    <w:next w:val="Normal"/>
    <w:link w:val="Heading1Char"/>
    <w:uiPriority w:val="4"/>
    <w:qFormat/>
    <w:rsid w:val="004E1E61"/>
    <w:pPr>
      <w:keepNext/>
      <w:keepLines/>
      <w:spacing w:before="48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C944BE"/>
    <w:pPr>
      <w:suppressAutoHyphens/>
      <w:spacing w:before="12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C944BE"/>
    <w:pPr>
      <w:keepNext/>
      <w:keepLines/>
      <w:spacing w:before="12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216626"/>
    <w:pPr>
      <w:keepNext/>
      <w:keepLine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4E1E61"/>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C944BE"/>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C944BE"/>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216626"/>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3"/>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2"/>
      </w:numPr>
      <w:contextualSpacing/>
    </w:pPr>
  </w:style>
  <w:style w:type="paragraph" w:styleId="ListNumber">
    <w:name w:val="List Number"/>
    <w:basedOn w:val="ListBullet"/>
    <w:uiPriority w:val="2"/>
    <w:qFormat/>
    <w:rsid w:val="00B94C9F"/>
    <w:pPr>
      <w:numPr>
        <w:numId w:val="11"/>
      </w:numPr>
    </w:pPr>
  </w:style>
  <w:style w:type="paragraph" w:styleId="ListBullet">
    <w:name w:val="List Bullet"/>
    <w:basedOn w:val="Normal"/>
    <w:uiPriority w:val="2"/>
    <w:qFormat/>
    <w:rsid w:val="005F3204"/>
    <w:pPr>
      <w:numPr>
        <w:numId w:val="9"/>
      </w:numPr>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F20BDD"/>
    <w:pPr>
      <w:spacing w:before="40" w:after="40"/>
      <w:jc w:val="center"/>
    </w:pPr>
    <w:rPr>
      <w:sz w:val="20"/>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C944BE"/>
    <w:pPr>
      <w:keepNext/>
      <w:suppressAutoHyphens w:val="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4"/>
      </w:numPr>
    </w:pPr>
  </w:style>
  <w:style w:type="numbering" w:customStyle="1" w:styleId="ListStyle123">
    <w:name w:val="List Style 123"/>
    <w:uiPriority w:val="99"/>
    <w:rsid w:val="00A97D55"/>
    <w:pPr>
      <w:numPr>
        <w:numId w:val="6"/>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16626"/>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16626"/>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character" w:styleId="CommentReference">
    <w:name w:val="annotation reference"/>
    <w:basedOn w:val="DefaultParagraphFont"/>
    <w:semiHidden/>
    <w:unhideWhenUsed/>
    <w:locked/>
    <w:rsid w:val="00066679"/>
    <w:rPr>
      <w:sz w:val="16"/>
      <w:szCs w:val="16"/>
    </w:rPr>
  </w:style>
  <w:style w:type="paragraph" w:styleId="CommentText">
    <w:name w:val="annotation text"/>
    <w:basedOn w:val="Normal"/>
    <w:link w:val="CommentTextChar"/>
    <w:semiHidden/>
    <w:unhideWhenUsed/>
    <w:locked/>
    <w:rsid w:val="00066679"/>
    <w:rPr>
      <w:sz w:val="20"/>
      <w:szCs w:val="20"/>
    </w:rPr>
  </w:style>
  <w:style w:type="character" w:customStyle="1" w:styleId="CommentTextChar">
    <w:name w:val="Comment Text Char"/>
    <w:basedOn w:val="DefaultParagraphFont"/>
    <w:link w:val="CommentText"/>
    <w:semiHidden/>
    <w:rsid w:val="00066679"/>
    <w:rPr>
      <w:sz w:val="20"/>
      <w:szCs w:val="20"/>
    </w:rPr>
  </w:style>
  <w:style w:type="paragraph" w:styleId="CommentSubject">
    <w:name w:val="annotation subject"/>
    <w:basedOn w:val="CommentText"/>
    <w:next w:val="CommentText"/>
    <w:link w:val="CommentSubjectChar"/>
    <w:semiHidden/>
    <w:unhideWhenUsed/>
    <w:locked/>
    <w:rsid w:val="00066679"/>
    <w:rPr>
      <w:b/>
      <w:bCs/>
    </w:rPr>
  </w:style>
  <w:style w:type="character" w:customStyle="1" w:styleId="CommentSubjectChar">
    <w:name w:val="Comment Subject Char"/>
    <w:basedOn w:val="CommentTextChar"/>
    <w:link w:val="CommentSubject"/>
    <w:semiHidden/>
    <w:rsid w:val="00066679"/>
    <w:rPr>
      <w:b/>
      <w:bCs/>
      <w:sz w:val="20"/>
      <w:szCs w:val="20"/>
    </w:rPr>
  </w:style>
  <w:style w:type="paragraph" w:styleId="Revision">
    <w:name w:val="Revision"/>
    <w:hidden/>
    <w:uiPriority w:val="99"/>
    <w:semiHidden/>
    <w:rsid w:val="00AE75D1"/>
    <w:pPr>
      <w:spacing w:before="0" w:after="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646931127">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 w:id="197860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htal1\appdata\local\microsoft\office\MDH_Templates\Basic%20MDH%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DDCC8B83AF824A9F5AA360F7EC6EF6" ma:contentTypeVersion="14" ma:contentTypeDescription="Create a new document." ma:contentTypeScope="" ma:versionID="98e58c2b20998fbf5eab7854e0536e3e">
  <xsd:schema xmlns:xsd="http://www.w3.org/2001/XMLSchema" xmlns:xs="http://www.w3.org/2001/XMLSchema" xmlns:p="http://schemas.microsoft.com/office/2006/metadata/properties" xmlns:ns2="fff41837-5838-4dec-ad5d-0fd8d2f05163" xmlns:ns3="95469566-ff15-40dd-a806-b3ff38c3d566" targetNamespace="http://schemas.microsoft.com/office/2006/metadata/properties" ma:root="true" ma:fieldsID="d813c288d8aa3829b1db0c20051b8987" ns2:_="" ns3:_="">
    <xsd:import namespace="fff41837-5838-4dec-ad5d-0fd8d2f05163"/>
    <xsd:import namespace="95469566-ff15-40dd-a806-b3ff38c3d5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41837-5838-4dec-ad5d-0fd8d2f051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469566-ff15-40dd-a806-b3ff38c3d5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4d0a8c0-36a2-46c0-85ba-268e1642d3cb}" ma:internalName="TaxCatchAll" ma:showField="CatchAllData" ma:web="95469566-ff15-40dd-a806-b3ff38c3d5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TaxCatchAll xmlns="95469566-ff15-40dd-a806-b3ff38c3d566" xsi:nil="true"/>
    <lcf76f155ced4ddcb4097134ff3c332f xmlns="fff41837-5838-4dec-ad5d-0fd8d2f051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4F814D-EF71-4532-9515-31A0B158F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f41837-5838-4dec-ad5d-0fd8d2f05163"/>
    <ds:schemaRef ds:uri="95469566-ff15-40dd-a806-b3ff38c3d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3.xml><?xml version="1.0" encoding="utf-8"?>
<ds:datastoreItem xmlns:ds="http://schemas.openxmlformats.org/officeDocument/2006/customXml" ds:itemID="{BD5DBE89-F6FE-41AE-8ABD-28ABBDE6506C}">
  <ds:schemaRefs>
    <ds:schemaRef ds:uri="http://schemas.openxmlformats.org/officeDocument/2006/bibliography"/>
  </ds:schemaRefs>
</ds:datastoreItem>
</file>

<file path=customXml/itemProps4.xml><?xml version="1.0" encoding="utf-8"?>
<ds:datastoreItem xmlns:ds="http://schemas.openxmlformats.org/officeDocument/2006/customXml" ds:itemID="{57BF5A84-D146-4B84-B77D-38529A5E057B}">
  <ds:schemaRefs>
    <ds:schemaRef ds:uri="http://schemas.microsoft.com/office/2006/metadata/properties"/>
    <ds:schemaRef ds:uri="http://purl.org/dc/elements/1.1/"/>
    <ds:schemaRef ds:uri="http://schemas.openxmlformats.org/package/2006/metadata/core-properties"/>
    <ds:schemaRef ds:uri="95469566-ff15-40dd-a806-b3ff38c3d566"/>
    <ds:schemaRef ds:uri="http://schemas.microsoft.com/office/2006/documentManagement/types"/>
    <ds:schemaRef ds:uri="http://www.w3.org/XML/1998/namespace"/>
    <ds:schemaRef ds:uri="http://purl.org/dc/dcmitype/"/>
    <ds:schemaRef ds:uri="http://purl.org/dc/terms/"/>
    <ds:schemaRef ds:uri="http://schemas.microsoft.com/office/infopath/2007/PartnerControls"/>
    <ds:schemaRef ds:uri="fff41837-5838-4dec-ad5d-0fd8d2f05163"/>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Basic MDH Document</Template>
  <TotalTime>22</TotalTime>
  <Pages>3</Pages>
  <Words>922</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Vaccine Protocol Template</vt:lpstr>
    </vt:vector>
  </TitlesOfParts>
  <Company>State of Minnesota</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Orthopox Vaccine Protocol: JYNNEOS</dc:title>
  <dc:subject>Orthopox Vaccine Protocol: JYNNEOS</dc:subject>
  <dc:creator>Minnesota Department of Health</dc:creator>
  <cp:keywords/>
  <dc:description/>
  <cp:lastModifiedBy>Schultz, Tracy (She/Her/Hers) (MDH)</cp:lastModifiedBy>
  <cp:revision>32</cp:revision>
  <cp:lastPrinted>2016-12-14T18:03:00Z</cp:lastPrinted>
  <dcterms:created xsi:type="dcterms:W3CDTF">2024-05-29T12:17:00Z</dcterms:created>
  <dcterms:modified xsi:type="dcterms:W3CDTF">2026-01-15T16:10:00Z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0x010100D2DDCC8B83AF824A9F5AA360F7EC6EF6</vt:lpwstr>
  </property>
  <property fmtid="{D5CDD505-2E9C-101B-9397-08002B2CF9AE}" pid="3" name="_dlc_DocIdItemGuid">
    <vt:lpwstr>5625e6c6-036d-48bf-b86d-616be68688bd</vt:lpwstr>
  </property>
  <property fmtid="{D5CDD505-2E9C-101B-9397-08002B2CF9AE}" pid="4" name="MediaServiceImageTags">
    <vt:lpwstr/>
  </property>
</Properties>
</file>