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5520B226" w:rsidR="000B3E7D" w:rsidRPr="00AF164C" w:rsidRDefault="00AE1A4E" w:rsidP="00AE1A4E">
      <w:pPr>
        <w:pStyle w:val="Heading1"/>
      </w:pPr>
      <w:r w:rsidRPr="00AF164C">
        <w:t>Meningococcal Conjugate Vaccine</w:t>
      </w:r>
      <w:r w:rsidR="00A370A3">
        <w:t>, 4</w:t>
      </w:r>
      <w:r w:rsidR="00F53AD6">
        <w:t>-</w:t>
      </w:r>
      <w:r w:rsidR="00A370A3">
        <w:t>Valent (MCV4)</w:t>
      </w:r>
      <w:r w:rsidRPr="00AF164C">
        <w:t xml:space="preserve"> </w:t>
      </w:r>
      <w:r w:rsidR="007542F3">
        <w:t>for Routine, Catch-up</w:t>
      </w:r>
      <w:r w:rsidR="00D05FAD">
        <w:t xml:space="preserve">, </w:t>
      </w:r>
      <w:r w:rsidR="00BB636E">
        <w:t>At-</w:t>
      </w:r>
      <w:r w:rsidR="00480ADC">
        <w:t>r</w:t>
      </w:r>
      <w:r w:rsidR="00BB636E">
        <w:t>isk</w:t>
      </w:r>
      <w:r w:rsidR="00D05FAD">
        <w:t xml:space="preserve">, </w:t>
      </w:r>
      <w:r w:rsidR="00E5014A">
        <w:t>and</w:t>
      </w:r>
      <w:r w:rsidR="00D05FAD">
        <w:t xml:space="preserve"> Booster Dose</w:t>
      </w:r>
      <w:r w:rsidR="00BB636E">
        <w:t xml:space="preserve"> </w:t>
      </w:r>
      <w:r w:rsidR="00480ADC">
        <w:t xml:space="preserve">Vaccine </w:t>
      </w:r>
      <w:r w:rsidR="005B1A82" w:rsidRPr="00AF164C">
        <w:t>Protocol</w:t>
      </w:r>
    </w:p>
    <w:p w14:paraId="7EF18EB5" w14:textId="36917B69" w:rsidR="00847B16" w:rsidRDefault="00AA4F36" w:rsidP="00847B16">
      <w:pPr>
        <w:pStyle w:val="Subtitle"/>
      </w:pPr>
      <w:r w:rsidRPr="00847B16">
        <w:t xml:space="preserve">VACCINE PROTOCOL FOR </w:t>
      </w:r>
      <w:r w:rsidR="00BB636E">
        <w:t>persons</w:t>
      </w:r>
      <w:r w:rsidRPr="00847B16">
        <w:t xml:space="preserve"> 2 </w:t>
      </w:r>
      <w:r w:rsidR="006C6AFE">
        <w:t>months</w:t>
      </w:r>
      <w:r w:rsidR="006C6AFE" w:rsidRPr="00847B16">
        <w:t xml:space="preserve"> </w:t>
      </w:r>
      <w:r w:rsidRPr="00847B16">
        <w:t>AND OLDER</w:t>
      </w:r>
    </w:p>
    <w:p w14:paraId="4BAE6FFB" w14:textId="06383182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E5014A">
        <w:rPr>
          <w:b/>
          <w:bCs/>
          <w:color w:val="C00000"/>
        </w:rPr>
        <w:t>June 6, 2023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35480624" w14:textId="3DDBDE9A" w:rsidR="00AF164C" w:rsidRDefault="00AE1A4E" w:rsidP="00AF164C">
      <w:pPr>
        <w:rPr>
          <w:color w:val="000000"/>
          <w:sz w:val="27"/>
          <w:szCs w:val="27"/>
        </w:rPr>
      </w:pPr>
      <w:r w:rsidRPr="00AF164C">
        <w:t>To reduce incidence of morbidity and mortality of Neisseria meningitidis disease types A, C, Y, and W-135</w:t>
      </w:r>
      <w:r>
        <w:rPr>
          <w:color w:val="000000"/>
          <w:sz w:val="27"/>
          <w:szCs w:val="27"/>
        </w:rPr>
        <w:t>.</w:t>
      </w:r>
    </w:p>
    <w:p w14:paraId="473158AD" w14:textId="09E51AF6" w:rsidR="000B3E7D" w:rsidRDefault="000B3E7D" w:rsidP="000B3E7D">
      <w:pPr>
        <w:pStyle w:val="Heading2"/>
      </w:pPr>
      <w:r>
        <w:t>Policy of protocol</w:t>
      </w:r>
    </w:p>
    <w:p w14:paraId="3856B515" w14:textId="445BD6F8" w:rsidR="000B3E7D" w:rsidRDefault="00AE1A4E" w:rsidP="00AF164C">
      <w:r w:rsidRPr="00AF164C">
        <w:t>The nurse will implement this protocol</w:t>
      </w:r>
      <w:r w:rsidR="00E7072A">
        <w:t xml:space="preserve"> for </w:t>
      </w:r>
      <w:r w:rsidR="00E7072A" w:rsidRPr="00AF164C">
        <w:t>MCV4</w:t>
      </w:r>
      <w:r w:rsidR="00E7072A">
        <w:t xml:space="preserve"> vaccination</w:t>
      </w:r>
      <w:r w:rsidRPr="00AF164C">
        <w:t>.</w:t>
      </w:r>
    </w:p>
    <w:p w14:paraId="0D598ED1" w14:textId="5D165C32" w:rsidR="0068493C" w:rsidRDefault="0068493C" w:rsidP="00AF164C">
      <w:bookmarkStart w:id="0" w:name="_Hlk216418560"/>
      <w:r w:rsidRPr="0068493C">
        <w:t>The indications for vaccination are based on recommendations from the American Academy of Pediatrics (AAP) and the American Academy of Family Physicians (AAFP).</w:t>
      </w:r>
      <w:bookmarkEnd w:id="0"/>
    </w:p>
    <w:p w14:paraId="3EA74746" w14:textId="6FD08B01" w:rsidR="0016692A" w:rsidRPr="0016692A" w:rsidRDefault="0016692A" w:rsidP="0016692A">
      <w:pPr>
        <w:pStyle w:val="Heading2"/>
      </w:pPr>
      <w:r w:rsidRPr="0016692A">
        <w:t>Condition-specific criteria and prescribed action</w:t>
      </w:r>
    </w:p>
    <w:p w14:paraId="66CD507C" w14:textId="253D6062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pPr w:leftFromText="180" w:rightFromText="180" w:vertAnchor="text" w:tblpXSpec="right" w:tblpY="1"/>
        <w:tblOverlap w:val="never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AF164C" w14:paraId="2B9A7AB7" w14:textId="77777777" w:rsidTr="00332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AF164C" w:rsidRDefault="0015567C" w:rsidP="00332013">
            <w:pPr>
              <w:pStyle w:val="TableText-calibri10"/>
            </w:pPr>
            <w:r w:rsidRPr="00AF164C">
              <w:t>Criteria</w:t>
            </w:r>
          </w:p>
        </w:tc>
        <w:tc>
          <w:tcPr>
            <w:tcW w:w="5129" w:type="dxa"/>
          </w:tcPr>
          <w:p w14:paraId="7BC765D4" w14:textId="77777777" w:rsidR="0015567C" w:rsidRPr="00AF164C" w:rsidRDefault="0015567C" w:rsidP="00332013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164C">
              <w:t>Prescribed action</w:t>
            </w:r>
          </w:p>
        </w:tc>
      </w:tr>
      <w:tr w:rsidR="009630C8" w:rsidRPr="00AF164C" w14:paraId="20DE80C1" w14:textId="77777777" w:rsidTr="00332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4CCC7EB9" w:rsidR="009630C8" w:rsidRPr="00AF164C" w:rsidRDefault="009630C8" w:rsidP="00332013">
            <w:pPr>
              <w:pStyle w:val="TableText-calibri10"/>
            </w:pPr>
            <w:r w:rsidRPr="00AF164C">
              <w:t>Person is currently not acutely ill</w:t>
            </w:r>
            <w:r w:rsidR="00172BED">
              <w:t>.</w:t>
            </w:r>
          </w:p>
        </w:tc>
        <w:tc>
          <w:tcPr>
            <w:tcW w:w="5129" w:type="dxa"/>
          </w:tcPr>
          <w:p w14:paraId="3FAE6827" w14:textId="25375CB3" w:rsidR="009630C8" w:rsidRPr="00AF164C" w:rsidRDefault="009630C8" w:rsidP="00332013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7B16">
              <w:t>Proceed to vaccinate if meets remaining criteria and has no contraindications or precautions.</w:t>
            </w:r>
          </w:p>
        </w:tc>
      </w:tr>
      <w:tr w:rsidR="003878D2" w:rsidRPr="00AF164C" w14:paraId="1A1F7902" w14:textId="77777777" w:rsidTr="0033201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38031B" w14:textId="1CAC649A" w:rsidR="003878D2" w:rsidRPr="00AF164C" w:rsidRDefault="006F65B3" w:rsidP="00332013">
            <w:pPr>
              <w:pStyle w:val="TableText-calibri10"/>
            </w:pPr>
            <w:r>
              <w:t>Person is age 11-12 years</w:t>
            </w:r>
            <w:r w:rsidR="00844070">
              <w:t xml:space="preserve"> </w:t>
            </w:r>
            <w:r w:rsidR="007A6E60">
              <w:t>.</w:t>
            </w:r>
          </w:p>
        </w:tc>
        <w:tc>
          <w:tcPr>
            <w:tcW w:w="5129" w:type="dxa"/>
          </w:tcPr>
          <w:p w14:paraId="12DBECFE" w14:textId="4F1B5671" w:rsidR="003878D2" w:rsidRPr="00AF164C" w:rsidRDefault="00844070" w:rsidP="00332013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Proceed to vaccinate</w:t>
            </w:r>
            <w:r w:rsidR="006F65B3">
              <w:t xml:space="preserve"> using routine vaccination schedule.</w:t>
            </w:r>
          </w:p>
        </w:tc>
      </w:tr>
      <w:tr w:rsidR="00EE4EA6" w:rsidRPr="00AF164C" w14:paraId="5B3F7F04" w14:textId="77777777" w:rsidTr="00332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26E1083" w14:textId="66D01A38" w:rsidR="00EE4EA6" w:rsidRDefault="00EE4EA6" w:rsidP="00332013">
            <w:pPr>
              <w:pStyle w:val="TableText-calibri10"/>
            </w:pPr>
            <w:r>
              <w:t xml:space="preserve">Person is </w:t>
            </w:r>
            <w:r w:rsidR="00BE4B12">
              <w:t xml:space="preserve">16 years or older and received </w:t>
            </w:r>
            <w:r w:rsidR="007A6E60">
              <w:t>one</w:t>
            </w:r>
            <w:r w:rsidR="00BE4B12">
              <w:t xml:space="preserve"> </w:t>
            </w:r>
            <w:r w:rsidR="002E5019">
              <w:t xml:space="preserve">dose </w:t>
            </w:r>
            <w:r w:rsidR="00553F9D">
              <w:t>between age 10-12 years.</w:t>
            </w:r>
          </w:p>
        </w:tc>
        <w:tc>
          <w:tcPr>
            <w:tcW w:w="5129" w:type="dxa"/>
          </w:tcPr>
          <w:p w14:paraId="537C1BB3" w14:textId="16ED6046" w:rsidR="00EE4EA6" w:rsidRDefault="007A6E60" w:rsidP="00332013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Proceed to vaccinate using routine vaccination schedule.</w:t>
            </w:r>
          </w:p>
        </w:tc>
      </w:tr>
      <w:tr w:rsidR="006A7AE1" w:rsidRPr="00AF164C" w14:paraId="7455AA1B" w14:textId="77777777" w:rsidTr="0033201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A593571" w14:textId="2B9311A8" w:rsidR="006A7AE1" w:rsidRDefault="006A7AE1" w:rsidP="00332013">
            <w:pPr>
              <w:pStyle w:val="TableText-calibri10"/>
            </w:pPr>
            <w:r>
              <w:t>Person is age 13</w:t>
            </w:r>
            <w:r w:rsidR="0085035A">
              <w:t>-18 years</w:t>
            </w:r>
            <w:r w:rsidR="00755EBF">
              <w:t xml:space="preserve"> and has not </w:t>
            </w:r>
            <w:r w:rsidR="00A651D0">
              <w:t xml:space="preserve">previously received </w:t>
            </w:r>
            <w:r w:rsidR="00E5407B">
              <w:t>MCV4</w:t>
            </w:r>
            <w:r w:rsidR="0014026B">
              <w:t xml:space="preserve"> vaccination</w:t>
            </w:r>
            <w:r w:rsidR="0085035A">
              <w:t>.</w:t>
            </w:r>
          </w:p>
        </w:tc>
        <w:tc>
          <w:tcPr>
            <w:tcW w:w="5129" w:type="dxa"/>
          </w:tcPr>
          <w:p w14:paraId="6B63F25C" w14:textId="0574F22A" w:rsidR="006A7AE1" w:rsidRDefault="00E5407B" w:rsidP="00332013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Proceed to vaccinate</w:t>
            </w:r>
            <w:r w:rsidR="0085035A">
              <w:t xml:space="preserve"> using </w:t>
            </w:r>
            <w:r w:rsidR="005C4762">
              <w:t>catch-up vaccination schedule.</w:t>
            </w:r>
          </w:p>
        </w:tc>
      </w:tr>
      <w:tr w:rsidR="009630C8" w:rsidRPr="00AF164C" w14:paraId="1A515FE4" w14:textId="77777777" w:rsidTr="00332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BD0C175" w14:textId="727ADDCB" w:rsidR="0044428B" w:rsidRDefault="009630C8" w:rsidP="00332013">
            <w:pPr>
              <w:pStyle w:val="TableText-calibri10"/>
              <w:rPr>
                <w:bCs w:val="0"/>
              </w:rPr>
            </w:pPr>
            <w:r w:rsidRPr="00AF164C">
              <w:t xml:space="preserve">Person age 2 months or older at increased risk for N. meningitidis due to medical indications: </w:t>
            </w:r>
          </w:p>
          <w:p w14:paraId="6A918B9C" w14:textId="77777777" w:rsidR="0044428B" w:rsidRPr="00F5246A" w:rsidRDefault="009630C8" w:rsidP="00332013">
            <w:pPr>
              <w:pStyle w:val="ListBullet"/>
              <w:spacing w:before="0" w:after="0"/>
              <w:rPr>
                <w:bCs w:val="0"/>
                <w:szCs w:val="20"/>
              </w:rPr>
            </w:pPr>
            <w:r w:rsidRPr="00F5246A">
              <w:rPr>
                <w:szCs w:val="20"/>
              </w:rPr>
              <w:t>Anatomic or functional asplenia</w:t>
            </w:r>
          </w:p>
          <w:p w14:paraId="74820F75" w14:textId="6E9B98D9" w:rsidR="009630C8" w:rsidRPr="00F5246A" w:rsidRDefault="009630C8" w:rsidP="00332013">
            <w:pPr>
              <w:pStyle w:val="ListBullet"/>
              <w:spacing w:before="0" w:after="0"/>
              <w:rPr>
                <w:szCs w:val="20"/>
              </w:rPr>
            </w:pPr>
            <w:r w:rsidRPr="00F5246A">
              <w:rPr>
                <w:szCs w:val="20"/>
              </w:rPr>
              <w:t>Complement component deficiency</w:t>
            </w:r>
          </w:p>
          <w:p w14:paraId="12FE24C3" w14:textId="4CA56762" w:rsidR="00D60AA0" w:rsidRPr="00AF164C" w:rsidRDefault="00D60AA0" w:rsidP="00332013">
            <w:pPr>
              <w:pStyle w:val="ListBullet"/>
              <w:spacing w:before="0" w:after="0"/>
            </w:pPr>
            <w:r w:rsidRPr="00F5246A">
              <w:rPr>
                <w:szCs w:val="20"/>
              </w:rPr>
              <w:t>HIV</w:t>
            </w:r>
            <w:r w:rsidR="00571C27" w:rsidRPr="00F5246A">
              <w:rPr>
                <w:szCs w:val="20"/>
              </w:rPr>
              <w:t xml:space="preserve"> infection</w:t>
            </w:r>
          </w:p>
        </w:tc>
        <w:tc>
          <w:tcPr>
            <w:tcW w:w="5129" w:type="dxa"/>
          </w:tcPr>
          <w:p w14:paraId="3AD50C9B" w14:textId="3A8D1C3A" w:rsidR="009630C8" w:rsidRPr="00AF164C" w:rsidRDefault="00BD3A20" w:rsidP="00332013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Proceed to vaccinate</w:t>
            </w:r>
            <w:r w:rsidR="009630C8" w:rsidRPr="00AF164C">
              <w:t xml:space="preserve"> </w:t>
            </w:r>
            <w:r w:rsidR="001E4E10">
              <w:t xml:space="preserve">using </w:t>
            </w:r>
            <w:r w:rsidR="00D1553E">
              <w:t>special situations vaccination schedule</w:t>
            </w:r>
            <w:r w:rsidR="00A8351E">
              <w:t xml:space="preserve"> depending on vaccine product</w:t>
            </w:r>
            <w:r w:rsidR="009630C8" w:rsidRPr="00AF164C">
              <w:t xml:space="preserve">. ACIP recommends off-label use of MCV4 for persons 56 years and older when multiple doses [i.e., boosters every 5 years] will be needed. [Refer persons 56 years and older to primary care provider for administration of off-label </w:t>
            </w:r>
            <w:r w:rsidR="00F30E2B">
              <w:t>MCV4</w:t>
            </w:r>
            <w:r w:rsidR="009630C8" w:rsidRPr="00AF164C">
              <w:t>]</w:t>
            </w:r>
            <w:r w:rsidR="008450B0">
              <w:t>.</w:t>
            </w:r>
          </w:p>
        </w:tc>
      </w:tr>
      <w:tr w:rsidR="0049174E" w:rsidRPr="00AF164C" w14:paraId="76C38ECF" w14:textId="77777777" w:rsidTr="0033201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DBE46BD" w14:textId="099D701C" w:rsidR="0049174E" w:rsidRPr="00AF164C" w:rsidRDefault="0049174E" w:rsidP="00332013">
            <w:pPr>
              <w:pStyle w:val="TableText-calibri10"/>
            </w:pPr>
            <w:r>
              <w:t>Person is</w:t>
            </w:r>
            <w:r w:rsidR="00A54409">
              <w:t xml:space="preserve"> </w:t>
            </w:r>
            <w:r w:rsidR="003C3004">
              <w:t>10</w:t>
            </w:r>
            <w:r w:rsidR="006F1E23">
              <w:t xml:space="preserve"> years</w:t>
            </w:r>
            <w:r w:rsidR="00F842BB">
              <w:t xml:space="preserve"> of age and </w:t>
            </w:r>
            <w:r w:rsidR="003C3004">
              <w:t xml:space="preserve">older and </w:t>
            </w:r>
            <w:r w:rsidR="005A68CF">
              <w:t xml:space="preserve">previously </w:t>
            </w:r>
            <w:r w:rsidR="00F842BB">
              <w:t>received MCV4 vaccination</w:t>
            </w:r>
            <w:r w:rsidR="002F0C31">
              <w:t xml:space="preserve"> prior to age </w:t>
            </w:r>
            <w:r w:rsidR="00771A6D">
              <w:t>10 years</w:t>
            </w:r>
            <w:r w:rsidR="005A68CF">
              <w:t>.</w:t>
            </w:r>
          </w:p>
        </w:tc>
        <w:tc>
          <w:tcPr>
            <w:tcW w:w="5129" w:type="dxa"/>
          </w:tcPr>
          <w:p w14:paraId="37ACAF08" w14:textId="2E0F19B2" w:rsidR="0049174E" w:rsidRPr="00AF164C" w:rsidRDefault="009B6A04" w:rsidP="00332013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Proceed to vaccinate using special situations sc</w:t>
            </w:r>
            <w:r w:rsidR="00D018F8">
              <w:t>hedule.</w:t>
            </w:r>
          </w:p>
        </w:tc>
      </w:tr>
      <w:tr w:rsidR="009630C8" w:rsidRPr="00AF164C" w14:paraId="65042057" w14:textId="77777777" w:rsidTr="00332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659319AF" w:rsidR="009630C8" w:rsidRPr="00AF164C" w:rsidRDefault="009630C8" w:rsidP="00332013">
            <w:pPr>
              <w:pStyle w:val="TableText-calibri10"/>
            </w:pPr>
            <w:r w:rsidRPr="00AF164C">
              <w:t>Person with routine exposure to isolates of N. meningitidis.</w:t>
            </w:r>
          </w:p>
        </w:tc>
        <w:tc>
          <w:tcPr>
            <w:tcW w:w="5129" w:type="dxa"/>
          </w:tcPr>
          <w:p w14:paraId="103BE670" w14:textId="124DCE6C" w:rsidR="009630C8" w:rsidRPr="00AF164C" w:rsidRDefault="009630C8" w:rsidP="00332013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164C">
              <w:t xml:space="preserve">[Initiate </w:t>
            </w:r>
            <w:r w:rsidR="006536CA">
              <w:t>MCV4</w:t>
            </w:r>
            <w:r w:rsidRPr="00AF164C">
              <w:t xml:space="preserve">, regardless of age, if no contraindications or precautions.] (ACIP recommends off-label use of MCV4 for persons 56 years and older when multiple doses [i.e., boosters every 5 years] will be needed.) [Refer to primary </w:t>
            </w:r>
            <w:r w:rsidRPr="00AF164C">
              <w:lastRenderedPageBreak/>
              <w:t xml:space="preserve">care provider if 56 year or older for administration of off-label </w:t>
            </w:r>
            <w:r w:rsidR="006536CA">
              <w:t>MCV4</w:t>
            </w:r>
            <w:r w:rsidRPr="00AF164C">
              <w:t>]</w:t>
            </w:r>
          </w:p>
        </w:tc>
      </w:tr>
      <w:tr w:rsidR="009630C8" w:rsidRPr="00AF164C" w14:paraId="79A641E9" w14:textId="77777777" w:rsidTr="0033201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5D115C4" w14:textId="4DF4BB42" w:rsidR="008465CA" w:rsidRDefault="009630C8" w:rsidP="00332013">
            <w:pPr>
              <w:pStyle w:val="TableText-calibri10"/>
              <w:rPr>
                <w:bCs w:val="0"/>
              </w:rPr>
            </w:pPr>
            <w:r w:rsidRPr="00AF164C">
              <w:lastRenderedPageBreak/>
              <w:t xml:space="preserve">Person </w:t>
            </w:r>
            <w:r w:rsidR="008465CA">
              <w:t xml:space="preserve">is </w:t>
            </w:r>
            <w:r w:rsidRPr="00AF164C">
              <w:t xml:space="preserve">age 2 months </w:t>
            </w:r>
            <w:r w:rsidR="00EB4816">
              <w:t>and older and</w:t>
            </w:r>
            <w:r w:rsidRPr="00AF164C">
              <w:t xml:space="preserve"> at increased risk for N. meningitidis due to non-medical-related indications:</w:t>
            </w:r>
          </w:p>
          <w:p w14:paraId="730E1732" w14:textId="0F6B07DA" w:rsidR="008465CA" w:rsidRPr="00F5246A" w:rsidRDefault="008F001B" w:rsidP="00332013">
            <w:pPr>
              <w:pStyle w:val="ListBullet"/>
              <w:spacing w:before="0" w:after="0"/>
              <w:rPr>
                <w:bCs w:val="0"/>
                <w:szCs w:val="20"/>
              </w:rPr>
            </w:pPr>
            <w:r w:rsidRPr="00F5246A">
              <w:rPr>
                <w:szCs w:val="20"/>
              </w:rPr>
              <w:t>T</w:t>
            </w:r>
            <w:r w:rsidR="009630C8" w:rsidRPr="00F5246A">
              <w:rPr>
                <w:szCs w:val="20"/>
              </w:rPr>
              <w:t>raveling to area with hyper-endemic or endemic meningococcal disease</w:t>
            </w:r>
            <w:r w:rsidR="00480ADC">
              <w:rPr>
                <w:szCs w:val="20"/>
              </w:rPr>
              <w:t>.</w:t>
            </w:r>
          </w:p>
          <w:p w14:paraId="6B107944" w14:textId="1818FB0F" w:rsidR="008465CA" w:rsidRPr="00F5246A" w:rsidRDefault="00942956" w:rsidP="00332013">
            <w:pPr>
              <w:pStyle w:val="ListBullet"/>
              <w:spacing w:before="0" w:after="0"/>
              <w:rPr>
                <w:bCs w:val="0"/>
                <w:szCs w:val="20"/>
              </w:rPr>
            </w:pPr>
            <w:r w:rsidRPr="00F5246A">
              <w:rPr>
                <w:szCs w:val="20"/>
              </w:rPr>
              <w:t>P</w:t>
            </w:r>
            <w:r w:rsidR="009630C8" w:rsidRPr="00F5246A">
              <w:rPr>
                <w:szCs w:val="20"/>
              </w:rPr>
              <w:t>art of community outbreak caused by a serotype included in the vaccine</w:t>
            </w:r>
            <w:r w:rsidR="00480ADC">
              <w:rPr>
                <w:szCs w:val="20"/>
              </w:rPr>
              <w:t>.</w:t>
            </w:r>
          </w:p>
          <w:p w14:paraId="77C58000" w14:textId="11641F28" w:rsidR="008465CA" w:rsidRPr="00F5246A" w:rsidRDefault="00942956" w:rsidP="00332013">
            <w:pPr>
              <w:pStyle w:val="ListBullet"/>
              <w:spacing w:before="0" w:after="0"/>
              <w:rPr>
                <w:bCs w:val="0"/>
                <w:szCs w:val="20"/>
              </w:rPr>
            </w:pPr>
            <w:r w:rsidRPr="00F5246A">
              <w:rPr>
                <w:szCs w:val="20"/>
              </w:rPr>
              <w:t>M</w:t>
            </w:r>
            <w:r w:rsidR="009630C8" w:rsidRPr="00F5246A">
              <w:rPr>
                <w:szCs w:val="20"/>
              </w:rPr>
              <w:t>ilitary recruit</w:t>
            </w:r>
            <w:r w:rsidR="00480ADC">
              <w:rPr>
                <w:szCs w:val="20"/>
              </w:rPr>
              <w:t>.</w:t>
            </w:r>
          </w:p>
          <w:p w14:paraId="754FBF4E" w14:textId="490BF78E" w:rsidR="00480ADC" w:rsidRPr="00480ADC" w:rsidRDefault="00942956" w:rsidP="00332013">
            <w:pPr>
              <w:pStyle w:val="ListBullet"/>
              <w:spacing w:before="0" w:after="0"/>
              <w:rPr>
                <w:szCs w:val="20"/>
              </w:rPr>
            </w:pPr>
            <w:r w:rsidRPr="00F5246A">
              <w:rPr>
                <w:szCs w:val="20"/>
              </w:rPr>
              <w:t>Fi</w:t>
            </w:r>
            <w:r w:rsidR="009630C8" w:rsidRPr="00F5246A">
              <w:rPr>
                <w:szCs w:val="20"/>
              </w:rPr>
              <w:t>rst year college student living in residential campus housing</w:t>
            </w:r>
            <w:r w:rsidR="00480ADC">
              <w:rPr>
                <w:szCs w:val="20"/>
              </w:rPr>
              <w:t>.</w:t>
            </w:r>
          </w:p>
          <w:p w14:paraId="01C0EC65" w14:textId="6B24DB00" w:rsidR="00E44A55" w:rsidRPr="00480ADC" w:rsidRDefault="008F001B" w:rsidP="00332013">
            <w:pPr>
              <w:pStyle w:val="ListBullet"/>
              <w:spacing w:before="0" w:after="0"/>
              <w:rPr>
                <w:szCs w:val="20"/>
              </w:rPr>
            </w:pPr>
            <w:r w:rsidRPr="00480ADC">
              <w:rPr>
                <w:szCs w:val="20"/>
              </w:rPr>
              <w:t xml:space="preserve">Microbiologist </w:t>
            </w:r>
            <w:r w:rsidR="00942956" w:rsidRPr="00480ADC">
              <w:rPr>
                <w:szCs w:val="20"/>
              </w:rPr>
              <w:t>routinely exposed</w:t>
            </w:r>
            <w:r w:rsidR="001646A9" w:rsidRPr="00480ADC">
              <w:rPr>
                <w:szCs w:val="20"/>
              </w:rPr>
              <w:t xml:space="preserve"> to N. meningitid</w:t>
            </w:r>
            <w:r w:rsidR="0062571D" w:rsidRPr="00480ADC">
              <w:rPr>
                <w:szCs w:val="20"/>
              </w:rPr>
              <w:t>is</w:t>
            </w:r>
            <w:r w:rsidR="00480ADC">
              <w:rPr>
                <w:szCs w:val="20"/>
              </w:rPr>
              <w:t>.</w:t>
            </w:r>
          </w:p>
        </w:tc>
        <w:tc>
          <w:tcPr>
            <w:tcW w:w="5129" w:type="dxa"/>
          </w:tcPr>
          <w:p w14:paraId="613998C2" w14:textId="246EE2F4" w:rsidR="009630C8" w:rsidRPr="00AF164C" w:rsidRDefault="008D38C5" w:rsidP="00332013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Proceed to vaccinate </w:t>
            </w:r>
            <w:r w:rsidR="005C5DD6">
              <w:t>using the special situation schedule</w:t>
            </w:r>
            <w:r w:rsidR="009630C8" w:rsidRPr="00AF164C">
              <w:t>.</w:t>
            </w:r>
          </w:p>
        </w:tc>
      </w:tr>
      <w:tr w:rsidR="009630C8" w:rsidRPr="00AF164C" w14:paraId="61078F0E" w14:textId="77777777" w:rsidTr="00332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733FF1" w14:textId="66EFE783" w:rsidR="009630C8" w:rsidRPr="00AF164C" w:rsidRDefault="009630C8" w:rsidP="00332013">
            <w:pPr>
              <w:pStyle w:val="TableText-calibri10"/>
            </w:pPr>
            <w:r w:rsidRPr="00AF164C">
              <w:t xml:space="preserve">Child is less than age </w:t>
            </w:r>
            <w:r w:rsidR="001341D4">
              <w:t>2 months</w:t>
            </w:r>
            <w:r w:rsidRPr="00AF164C">
              <w:t>.</w:t>
            </w:r>
          </w:p>
        </w:tc>
        <w:tc>
          <w:tcPr>
            <w:tcW w:w="5129" w:type="dxa"/>
          </w:tcPr>
          <w:p w14:paraId="6668E434" w14:textId="4D86CEA4" w:rsidR="009630C8" w:rsidRPr="00AF164C" w:rsidRDefault="009630C8" w:rsidP="00332013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164C">
              <w:t xml:space="preserve">Reschedule vaccination when child meets age criteria of age </w:t>
            </w:r>
            <w:r w:rsidR="001341D4">
              <w:t xml:space="preserve">2 months. </w:t>
            </w:r>
          </w:p>
        </w:tc>
      </w:tr>
    </w:tbl>
    <w:p w14:paraId="7B87EA16" w14:textId="343BC7F4" w:rsidR="000B3E7D" w:rsidRDefault="00332013" w:rsidP="0015567C">
      <w:pPr>
        <w:pStyle w:val="TableorChartTitle"/>
        <w:jc w:val="left"/>
      </w:pPr>
      <w:r>
        <w:br w:type="textWrapping" w:clear="all"/>
      </w:r>
      <w:r w:rsidR="000B3E7D"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AF164C" w14:paraId="03431DC1" w14:textId="77777777" w:rsidTr="00791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AF164C" w:rsidRDefault="0015567C" w:rsidP="00AF164C">
            <w:pPr>
              <w:pStyle w:val="TableText-calibri10"/>
            </w:pPr>
            <w:r w:rsidRPr="00AF164C">
              <w:t>Criteria</w:t>
            </w:r>
          </w:p>
        </w:tc>
        <w:tc>
          <w:tcPr>
            <w:tcW w:w="5129" w:type="dxa"/>
          </w:tcPr>
          <w:p w14:paraId="4692A7FB" w14:textId="77777777" w:rsidR="0015567C" w:rsidRPr="00AF164C" w:rsidRDefault="0015567C" w:rsidP="00AF164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164C">
              <w:t>Prescribed action</w:t>
            </w:r>
          </w:p>
        </w:tc>
      </w:tr>
      <w:tr w:rsidR="00185403" w:rsidRPr="00AF164C" w14:paraId="7005D129" w14:textId="77777777" w:rsidTr="0079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4AF839AA" w:rsidR="00185403" w:rsidRPr="00AF164C" w:rsidRDefault="00AE1A4E" w:rsidP="00AF164C">
            <w:pPr>
              <w:pStyle w:val="TableText-calibri10"/>
            </w:pPr>
            <w:r w:rsidRPr="00AF164C">
              <w:t xml:space="preserve">Person had a </w:t>
            </w:r>
            <w:r w:rsidR="00741434">
              <w:t>severe</w:t>
            </w:r>
            <w:r w:rsidRPr="00AF164C">
              <w:t xml:space="preserve"> allergic reaction to a previous dose of MCV4 vaccine.</w:t>
            </w:r>
          </w:p>
        </w:tc>
        <w:tc>
          <w:tcPr>
            <w:tcW w:w="5129" w:type="dxa"/>
          </w:tcPr>
          <w:p w14:paraId="68751DD1" w14:textId="2E1D6D32" w:rsidR="00185403" w:rsidRPr="00AF164C" w:rsidRDefault="00AE1A4E" w:rsidP="00AF164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164C">
              <w:t>Do not vaccinate; _____________________</w:t>
            </w:r>
          </w:p>
        </w:tc>
      </w:tr>
      <w:tr w:rsidR="00185403" w:rsidRPr="00AF164C" w14:paraId="0B0C8027" w14:textId="77777777" w:rsidTr="00791D5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2FC90FF1" w:rsidR="00185403" w:rsidRPr="00AF164C" w:rsidRDefault="00AE1A4E" w:rsidP="00AF164C">
            <w:pPr>
              <w:pStyle w:val="TableText-calibri10"/>
            </w:pPr>
            <w:r w:rsidRPr="00AF164C">
              <w:t xml:space="preserve">Person has a </w:t>
            </w:r>
            <w:r w:rsidR="00E05365">
              <w:t>severe</w:t>
            </w:r>
            <w:r w:rsidRPr="00AF164C">
              <w:t xml:space="preserve"> allergy to a component of MCV4 vaccine.</w:t>
            </w:r>
          </w:p>
        </w:tc>
        <w:tc>
          <w:tcPr>
            <w:tcW w:w="5129" w:type="dxa"/>
          </w:tcPr>
          <w:p w14:paraId="753EF366" w14:textId="7B604A48" w:rsidR="00185403" w:rsidRPr="00AF164C" w:rsidRDefault="00AE1A4E" w:rsidP="00AF164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164C">
              <w:t>Do not vaccinate; _____________________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AF164C" w14:paraId="7BD181FC" w14:textId="77777777" w:rsidTr="00791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AF164C" w:rsidRDefault="0015567C" w:rsidP="00AF164C">
            <w:pPr>
              <w:pStyle w:val="TableText-calibri10"/>
            </w:pPr>
            <w:r w:rsidRPr="00AF164C">
              <w:t>Criteria</w:t>
            </w:r>
          </w:p>
        </w:tc>
        <w:tc>
          <w:tcPr>
            <w:tcW w:w="5129" w:type="dxa"/>
          </w:tcPr>
          <w:p w14:paraId="176E4172" w14:textId="77777777" w:rsidR="0015567C" w:rsidRPr="00AF164C" w:rsidRDefault="0015567C" w:rsidP="00AF164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164C">
              <w:t>Prescribed action</w:t>
            </w:r>
          </w:p>
        </w:tc>
      </w:tr>
      <w:tr w:rsidR="00926635" w:rsidRPr="00AF164C" w14:paraId="5896B4F6" w14:textId="77777777" w:rsidTr="0079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33244B49" w:rsidR="00926635" w:rsidRPr="00AF164C" w:rsidRDefault="00AE1A4E" w:rsidP="00AF164C">
            <w:pPr>
              <w:pStyle w:val="TableText-calibri10"/>
            </w:pPr>
            <w:r w:rsidRPr="00AF164C">
              <w:t>Person has a mild illness defined as temperature less than ____°F/°C with symptoms such as: {to be determined by medical prescriber}</w:t>
            </w:r>
          </w:p>
        </w:tc>
        <w:tc>
          <w:tcPr>
            <w:tcW w:w="5129" w:type="dxa"/>
          </w:tcPr>
          <w:p w14:paraId="27B7FDF7" w14:textId="61309CA1" w:rsidR="00926635" w:rsidRPr="00AF164C" w:rsidRDefault="00AE1A4E" w:rsidP="00AF164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164C">
              <w:t>Proceed to vaccinate.</w:t>
            </w:r>
          </w:p>
        </w:tc>
      </w:tr>
      <w:tr w:rsidR="59BEB75F" w:rsidRPr="00AF164C" w14:paraId="0DDCB27F" w14:textId="77777777" w:rsidTr="00791D5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11A03CA2" w:rsidR="06C91713" w:rsidRPr="00AF164C" w:rsidRDefault="00AE1A4E" w:rsidP="00AF164C">
            <w:pPr>
              <w:pStyle w:val="TableText-calibri10"/>
            </w:pPr>
            <w:r w:rsidRPr="00AF164C">
              <w:t>Person has a moderate to severe illness defined as temperature ____°F/°C or higher with symptoms such as: {to be determined by medical prescriber}</w:t>
            </w:r>
          </w:p>
        </w:tc>
        <w:tc>
          <w:tcPr>
            <w:tcW w:w="5129" w:type="dxa"/>
          </w:tcPr>
          <w:p w14:paraId="6FBAFC44" w14:textId="5D4EE436" w:rsidR="06C91713" w:rsidRPr="00AF164C" w:rsidRDefault="00AE1A4E" w:rsidP="00AF164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164C">
              <w:t>Defer vaccination and {to be determined by medical prescriber}</w:t>
            </w:r>
          </w:p>
        </w:tc>
      </w:tr>
    </w:tbl>
    <w:p w14:paraId="001F848C" w14:textId="11CE4CC6" w:rsidR="00791D5D" w:rsidRDefault="0015567C" w:rsidP="00F5246A">
      <w:pPr>
        <w:pStyle w:val="Heading2"/>
        <w:keepNext/>
      </w:pPr>
      <w:r>
        <w:t>Prescription</w:t>
      </w:r>
    </w:p>
    <w:p w14:paraId="00DF273C" w14:textId="0C75E7C7" w:rsidR="008A400D" w:rsidRPr="00D120FD" w:rsidRDefault="008A400D" w:rsidP="00776344">
      <w:pPr>
        <w:pStyle w:val="ListBullet"/>
      </w:pPr>
      <w:proofErr w:type="spellStart"/>
      <w:r w:rsidRPr="00D120FD">
        <w:t>MenACYW</w:t>
      </w:r>
      <w:proofErr w:type="spellEnd"/>
      <w:r w:rsidRPr="00D120FD">
        <w:t>-CRM 0.5 ml, IM (approved for ages 2 months through 55 years)</w:t>
      </w:r>
      <w:r w:rsidR="00776344">
        <w:t>, or</w:t>
      </w:r>
    </w:p>
    <w:p w14:paraId="33B20A6C" w14:textId="405DB902" w:rsidR="008A400D" w:rsidRPr="00D120FD" w:rsidRDefault="008A400D" w:rsidP="00776344">
      <w:pPr>
        <w:pStyle w:val="ListBullet"/>
        <w:rPr>
          <w:rFonts w:asciiTheme="minorHAnsi" w:eastAsiaTheme="minorHAnsi" w:hAnsiTheme="minorHAnsi"/>
        </w:rPr>
      </w:pPr>
      <w:bookmarkStart w:id="1" w:name="_Hlk135984927"/>
      <w:proofErr w:type="spellStart"/>
      <w:r w:rsidRPr="00D120FD">
        <w:rPr>
          <w:rFonts w:asciiTheme="minorHAnsi" w:eastAsiaTheme="minorHAnsi" w:hAnsiTheme="minorHAnsi"/>
        </w:rPr>
        <w:t>MenACWY</w:t>
      </w:r>
      <w:proofErr w:type="spellEnd"/>
      <w:r w:rsidRPr="00D120FD">
        <w:rPr>
          <w:rFonts w:asciiTheme="minorHAnsi" w:eastAsiaTheme="minorHAnsi" w:hAnsiTheme="minorHAnsi"/>
        </w:rPr>
        <w:t xml:space="preserve">-TT </w:t>
      </w:r>
      <w:bookmarkEnd w:id="1"/>
      <w:r w:rsidRPr="00D120FD">
        <w:rPr>
          <w:rFonts w:asciiTheme="minorHAnsi" w:eastAsiaTheme="minorHAnsi" w:hAnsiTheme="minorHAnsi"/>
        </w:rPr>
        <w:t xml:space="preserve">0.5 ml, IM (approved for ages 2 years and older). </w:t>
      </w:r>
    </w:p>
    <w:p w14:paraId="5046953B" w14:textId="77777777" w:rsidR="008A400D" w:rsidRPr="00D120FD" w:rsidRDefault="008A400D" w:rsidP="008A400D">
      <w:pPr>
        <w:pStyle w:val="Heading3"/>
        <w:rPr>
          <w:color w:val="00294B" w:themeColor="accent1" w:themeShade="BF"/>
          <w:sz w:val="26"/>
          <w:szCs w:val="26"/>
        </w:rPr>
      </w:pPr>
      <w:r w:rsidRPr="00D120FD">
        <w:t>Routine vaccination</w:t>
      </w:r>
    </w:p>
    <w:p w14:paraId="3ED7DF46" w14:textId="77777777" w:rsidR="008A400D" w:rsidRPr="00D120FD" w:rsidRDefault="008A400D" w:rsidP="00776344">
      <w:pPr>
        <w:pStyle w:val="ListBullet"/>
      </w:pPr>
      <w:r w:rsidRPr="00D120FD">
        <w:t>2-dose series at age 11–12 years; 16 years</w:t>
      </w:r>
    </w:p>
    <w:p w14:paraId="7A9D52B3" w14:textId="77777777" w:rsidR="008A400D" w:rsidRPr="00D120FD" w:rsidRDefault="008A400D" w:rsidP="008A400D">
      <w:pPr>
        <w:pStyle w:val="Heading3"/>
        <w:rPr>
          <w:color w:val="00294B" w:themeColor="accent1" w:themeShade="BF"/>
          <w:sz w:val="26"/>
          <w:szCs w:val="26"/>
        </w:rPr>
      </w:pPr>
      <w:r w:rsidRPr="00D120FD">
        <w:t>Catch-up vaccination</w:t>
      </w:r>
    </w:p>
    <w:p w14:paraId="007A87CE" w14:textId="77777777" w:rsidR="008A400D" w:rsidRPr="00D120FD" w:rsidRDefault="008A400D" w:rsidP="00776344">
      <w:pPr>
        <w:pStyle w:val="ListBullet"/>
      </w:pPr>
      <w:r w:rsidRPr="00D120FD">
        <w:t>Age 13–15 years: 1 dose now and booster at age 16–18 years (minimum interval: 8 weeks)</w:t>
      </w:r>
    </w:p>
    <w:p w14:paraId="77B8972A" w14:textId="77777777" w:rsidR="008A400D" w:rsidRPr="00D120FD" w:rsidRDefault="008A400D" w:rsidP="00776344">
      <w:pPr>
        <w:pStyle w:val="ListBullet"/>
      </w:pPr>
      <w:r w:rsidRPr="00D120FD">
        <w:lastRenderedPageBreak/>
        <w:t>Age 16 years or older: 1 dose</w:t>
      </w:r>
    </w:p>
    <w:p w14:paraId="7F8C2256" w14:textId="77777777" w:rsidR="008A400D" w:rsidRPr="00D120FD" w:rsidRDefault="008A400D" w:rsidP="008A400D">
      <w:pPr>
        <w:pStyle w:val="Heading3"/>
      </w:pPr>
      <w:r w:rsidRPr="00D120FD">
        <w:t xml:space="preserve">Special situations </w:t>
      </w:r>
    </w:p>
    <w:p w14:paraId="3E0E4131" w14:textId="4F755A94" w:rsidR="008A400D" w:rsidRPr="00D120FD" w:rsidRDefault="008A400D" w:rsidP="00776344">
      <w:pPr>
        <w:pStyle w:val="ListBullet"/>
      </w:pPr>
      <w:r w:rsidRPr="00D120FD">
        <w:t xml:space="preserve">Adolescent vaccination of children who received </w:t>
      </w:r>
      <w:r w:rsidR="00F30E2B">
        <w:t>MCV4</w:t>
      </w:r>
      <w:r w:rsidRPr="00D120FD">
        <w:t xml:space="preserve"> prior to age 10 years:</w:t>
      </w:r>
    </w:p>
    <w:p w14:paraId="43E7C9B2" w14:textId="77777777" w:rsidR="008A400D" w:rsidRPr="00D120FD" w:rsidRDefault="008A400D" w:rsidP="00776344">
      <w:pPr>
        <w:pStyle w:val="ListBullet"/>
        <w:numPr>
          <w:ilvl w:val="1"/>
          <w:numId w:val="24"/>
        </w:numPr>
      </w:pPr>
      <w:r w:rsidRPr="00D120FD">
        <w:rPr>
          <w:b/>
          <w:bCs/>
        </w:rPr>
        <w:t>Children for whom boosters are recommended</w:t>
      </w:r>
      <w:r w:rsidRPr="00D120FD">
        <w:t xml:space="preserve"> because of an ongoing increased risk of meningococcal disease (e.g., those with complement component deficiency, HIV, or asplenia): Follow the booster schedule for persons at increased risk.</w:t>
      </w:r>
    </w:p>
    <w:p w14:paraId="75C04AEB" w14:textId="52794665" w:rsidR="000B1A88" w:rsidRPr="00776344" w:rsidRDefault="008A400D" w:rsidP="00776344">
      <w:pPr>
        <w:pStyle w:val="ListBullet"/>
        <w:numPr>
          <w:ilvl w:val="1"/>
          <w:numId w:val="24"/>
        </w:numPr>
        <w:rPr>
          <w:rFonts w:asciiTheme="minorHAnsi" w:eastAsiaTheme="minorHAnsi" w:hAnsiTheme="minorHAnsi"/>
        </w:rPr>
      </w:pPr>
      <w:r w:rsidRPr="00D120FD">
        <w:rPr>
          <w:b/>
          <w:bCs/>
        </w:rPr>
        <w:t>Children for whom boosters are not recommended</w:t>
      </w:r>
      <w:r w:rsidRPr="00D120FD">
        <w:t xml:space="preserve"> (e.g., a healthy child who received a single dose for travel to a country where meningococcal disease is endemic): Administer </w:t>
      </w:r>
      <w:r w:rsidR="00F30E2B">
        <w:t>MCV4</w:t>
      </w:r>
      <w:r w:rsidRPr="00D120FD">
        <w:t xml:space="preserve"> according to the recommended adolescent schedule with dose 1 at age 11–12 years and dose 2 at age 16 years.</w:t>
      </w:r>
    </w:p>
    <w:p w14:paraId="3C9992DB" w14:textId="77777777" w:rsidR="008A400D" w:rsidRPr="00D120FD" w:rsidRDefault="008A400D" w:rsidP="00776344">
      <w:pPr>
        <w:pStyle w:val="ListBullet"/>
      </w:pPr>
      <w:r w:rsidRPr="00D120FD">
        <w:t xml:space="preserve">Anatomic or functional asplenia (including sickle cell disease), HIV infection, persistent complement component deficiency, complement inhibitor (e.g., eculizumab, </w:t>
      </w:r>
      <w:proofErr w:type="spellStart"/>
      <w:r w:rsidRPr="00D120FD">
        <w:t>ravulizumab</w:t>
      </w:r>
      <w:proofErr w:type="spellEnd"/>
      <w:r w:rsidRPr="00D120FD">
        <w:t>) use:</w:t>
      </w:r>
    </w:p>
    <w:p w14:paraId="6AA3B76B" w14:textId="2B1F9850" w:rsidR="008A400D" w:rsidRPr="00D120FD" w:rsidRDefault="00484458" w:rsidP="00776344">
      <w:pPr>
        <w:pStyle w:val="ListBullet"/>
        <w:numPr>
          <w:ilvl w:val="1"/>
          <w:numId w:val="24"/>
        </w:numPr>
        <w:rPr>
          <w:rFonts w:asciiTheme="minorHAnsi" w:eastAsiaTheme="minorHAnsi" w:hAnsiTheme="minorHAnsi"/>
        </w:rPr>
      </w:pPr>
      <w:bookmarkStart w:id="2" w:name="_Hlk135984868"/>
      <w:proofErr w:type="spellStart"/>
      <w:r w:rsidRPr="00D120FD">
        <w:t>MenACYW</w:t>
      </w:r>
      <w:proofErr w:type="spellEnd"/>
      <w:r w:rsidRPr="00D120FD">
        <w:t xml:space="preserve">-CRM </w:t>
      </w:r>
      <w:r>
        <w:t>(</w:t>
      </w:r>
      <w:r w:rsidR="008A400D" w:rsidRPr="00D120FD">
        <w:rPr>
          <w:rFonts w:asciiTheme="minorHAnsi" w:eastAsiaTheme="minorHAnsi" w:hAnsiTheme="minorHAnsi"/>
        </w:rPr>
        <w:t>Menveo®</w:t>
      </w:r>
      <w:r>
        <w:rPr>
          <w:rFonts w:asciiTheme="minorHAnsi" w:eastAsiaTheme="minorHAnsi" w:hAnsiTheme="minorHAnsi"/>
        </w:rPr>
        <w:t>)</w:t>
      </w:r>
    </w:p>
    <w:bookmarkEnd w:id="2"/>
    <w:p w14:paraId="25C0783D" w14:textId="57847447" w:rsidR="008A400D" w:rsidRPr="00D120FD" w:rsidRDefault="008A400D" w:rsidP="00776344">
      <w:pPr>
        <w:pStyle w:val="ListBullet"/>
        <w:numPr>
          <w:ilvl w:val="2"/>
          <w:numId w:val="24"/>
        </w:numPr>
        <w:rPr>
          <w:rFonts w:asciiTheme="minorHAnsi" w:eastAsiaTheme="minorHAnsi" w:hAnsiTheme="minorHAnsi"/>
        </w:rPr>
      </w:pPr>
      <w:r w:rsidRPr="00D120FD">
        <w:rPr>
          <w:rFonts w:asciiTheme="minorHAnsi" w:eastAsiaTheme="minorHAnsi" w:hAnsiTheme="minorHAnsi"/>
        </w:rPr>
        <w:t>Dose 1 at age 2 months: 4-dose series (additional 3 doses at age 4, 6, and 12 months)</w:t>
      </w:r>
      <w:r w:rsidR="00F5246A">
        <w:rPr>
          <w:rFonts w:asciiTheme="minorHAnsi" w:eastAsiaTheme="minorHAnsi" w:hAnsiTheme="minorHAnsi"/>
        </w:rPr>
        <w:t>.</w:t>
      </w:r>
    </w:p>
    <w:p w14:paraId="63D17301" w14:textId="70E3C4A6" w:rsidR="008A400D" w:rsidRPr="00D120FD" w:rsidRDefault="008A400D" w:rsidP="00776344">
      <w:pPr>
        <w:pStyle w:val="ListBullet"/>
        <w:numPr>
          <w:ilvl w:val="2"/>
          <w:numId w:val="24"/>
        </w:numPr>
        <w:rPr>
          <w:rFonts w:asciiTheme="minorHAnsi" w:eastAsiaTheme="minorHAnsi" w:hAnsiTheme="minorHAnsi"/>
        </w:rPr>
      </w:pPr>
      <w:r w:rsidRPr="00D120FD">
        <w:rPr>
          <w:rFonts w:asciiTheme="minorHAnsi" w:eastAsiaTheme="minorHAnsi" w:hAnsiTheme="minorHAnsi"/>
        </w:rPr>
        <w:t>Dose 1 at age 3–6 months: 3- or 4- dose series (dose 2 [and dose 3 if applicable] at least 8 weeks after previous dose until a dose is received at age 7 months or older, followed by an additional dose at least 12 weeks later and after age 12 months)</w:t>
      </w:r>
      <w:r w:rsidR="00F5246A">
        <w:rPr>
          <w:rFonts w:asciiTheme="minorHAnsi" w:eastAsiaTheme="minorHAnsi" w:hAnsiTheme="minorHAnsi"/>
        </w:rPr>
        <w:t>.</w:t>
      </w:r>
    </w:p>
    <w:p w14:paraId="7535EC10" w14:textId="6A44B14C" w:rsidR="008A400D" w:rsidRPr="00D120FD" w:rsidRDefault="008A400D" w:rsidP="00776344">
      <w:pPr>
        <w:pStyle w:val="ListBullet"/>
        <w:numPr>
          <w:ilvl w:val="2"/>
          <w:numId w:val="24"/>
        </w:numPr>
        <w:rPr>
          <w:rFonts w:asciiTheme="minorHAnsi" w:eastAsiaTheme="minorHAnsi" w:hAnsiTheme="minorHAnsi"/>
        </w:rPr>
      </w:pPr>
      <w:r w:rsidRPr="00D120FD">
        <w:rPr>
          <w:rFonts w:asciiTheme="minorHAnsi" w:eastAsiaTheme="minorHAnsi" w:hAnsiTheme="minorHAnsi"/>
        </w:rPr>
        <w:t>Dose 1 at age 7–23 months: 2-dose series (dose 2 at least 12 weeks after dose 1 and after age 12 months)</w:t>
      </w:r>
      <w:r w:rsidR="00F5246A">
        <w:rPr>
          <w:rFonts w:asciiTheme="minorHAnsi" w:eastAsiaTheme="minorHAnsi" w:hAnsiTheme="minorHAnsi"/>
        </w:rPr>
        <w:t>.</w:t>
      </w:r>
    </w:p>
    <w:p w14:paraId="30AE27EF" w14:textId="70AD2DF2" w:rsidR="008A400D" w:rsidRPr="00D120FD" w:rsidRDefault="008A400D" w:rsidP="00776344">
      <w:pPr>
        <w:pStyle w:val="ListBullet"/>
        <w:numPr>
          <w:ilvl w:val="2"/>
          <w:numId w:val="24"/>
        </w:numPr>
        <w:rPr>
          <w:rFonts w:asciiTheme="minorHAnsi" w:eastAsiaTheme="minorHAnsi" w:hAnsiTheme="minorHAnsi"/>
        </w:rPr>
      </w:pPr>
      <w:r w:rsidRPr="00D120FD">
        <w:rPr>
          <w:rFonts w:asciiTheme="minorHAnsi" w:eastAsiaTheme="minorHAnsi" w:hAnsiTheme="minorHAnsi"/>
        </w:rPr>
        <w:t>Dose 1 at age 24 months or older: 2-dose series at least 8 weeks apart</w:t>
      </w:r>
      <w:r w:rsidR="00F5246A">
        <w:rPr>
          <w:rFonts w:asciiTheme="minorHAnsi" w:eastAsiaTheme="minorHAnsi" w:hAnsiTheme="minorHAnsi"/>
        </w:rPr>
        <w:t>.</w:t>
      </w:r>
    </w:p>
    <w:p w14:paraId="243EDB0F" w14:textId="5B2FD5D4" w:rsidR="008A400D" w:rsidRPr="00D120FD" w:rsidRDefault="0025540E" w:rsidP="005F19A6">
      <w:pPr>
        <w:pStyle w:val="ListBullet"/>
        <w:numPr>
          <w:ilvl w:val="1"/>
          <w:numId w:val="24"/>
        </w:numPr>
      </w:pPr>
      <w:proofErr w:type="spellStart"/>
      <w:r w:rsidRPr="00D120FD">
        <w:t>MenACWY</w:t>
      </w:r>
      <w:proofErr w:type="spellEnd"/>
      <w:r w:rsidRPr="00D120FD">
        <w:t xml:space="preserve">-TT </w:t>
      </w:r>
      <w:r>
        <w:t>(</w:t>
      </w:r>
      <w:proofErr w:type="spellStart"/>
      <w:r w:rsidR="008A400D" w:rsidRPr="00D120FD">
        <w:t>MenQuadfi</w:t>
      </w:r>
      <w:proofErr w:type="spellEnd"/>
      <w:r w:rsidR="008A400D" w:rsidRPr="00D120FD">
        <w:t>®</w:t>
      </w:r>
      <w:r>
        <w:t>)</w:t>
      </w:r>
    </w:p>
    <w:p w14:paraId="1A66A31F" w14:textId="7EEEC7C4" w:rsidR="008A400D" w:rsidRPr="00D120FD" w:rsidRDefault="008A400D" w:rsidP="005F19A6">
      <w:pPr>
        <w:pStyle w:val="ListBullet"/>
        <w:numPr>
          <w:ilvl w:val="2"/>
          <w:numId w:val="24"/>
        </w:numPr>
      </w:pPr>
      <w:r w:rsidRPr="00D120FD">
        <w:t>Dose 1 at age 24 months or older: 2-dose series at least 8 weeks apart</w:t>
      </w:r>
      <w:r w:rsidR="00F5246A">
        <w:t>.</w:t>
      </w:r>
    </w:p>
    <w:p w14:paraId="6E8C997A" w14:textId="77777777" w:rsidR="008A400D" w:rsidRPr="00D120FD" w:rsidRDefault="008A400D" w:rsidP="005F19A6">
      <w:pPr>
        <w:pStyle w:val="ListBullet"/>
        <w:numPr>
          <w:ilvl w:val="1"/>
          <w:numId w:val="24"/>
        </w:numPr>
      </w:pPr>
      <w:r w:rsidRPr="008E7CB4">
        <w:rPr>
          <w:b/>
          <w:bCs/>
        </w:rPr>
        <w:t>Booster dose</w:t>
      </w:r>
      <w:r w:rsidRPr="00D120FD">
        <w:t>:</w:t>
      </w:r>
    </w:p>
    <w:p w14:paraId="22E8C686" w14:textId="7F8DFC0C" w:rsidR="008A400D" w:rsidRPr="00D120FD" w:rsidRDefault="008A400D" w:rsidP="005F19A6">
      <w:pPr>
        <w:pStyle w:val="ListBullet"/>
        <w:numPr>
          <w:ilvl w:val="2"/>
          <w:numId w:val="24"/>
        </w:numPr>
      </w:pPr>
      <w:r w:rsidRPr="00C41DC2">
        <w:t>Less than 7 years</w:t>
      </w:r>
      <w:r w:rsidRPr="00D120FD">
        <w:t>: single dose 3 years after primary series and every 5 years thereafter</w:t>
      </w:r>
      <w:r w:rsidR="00F5246A">
        <w:t>.</w:t>
      </w:r>
    </w:p>
    <w:p w14:paraId="5D618564" w14:textId="0116434B" w:rsidR="000B1A88" w:rsidRPr="005F19A6" w:rsidRDefault="008A400D" w:rsidP="005F19A6">
      <w:pPr>
        <w:pStyle w:val="ListBullet"/>
        <w:numPr>
          <w:ilvl w:val="2"/>
          <w:numId w:val="24"/>
        </w:numPr>
        <w:rPr>
          <w:rFonts w:asciiTheme="minorHAnsi" w:eastAsiaTheme="minorHAnsi" w:hAnsiTheme="minorHAnsi"/>
        </w:rPr>
      </w:pPr>
      <w:r w:rsidRPr="00C41DC2">
        <w:t>7 years and older</w:t>
      </w:r>
      <w:r w:rsidRPr="00D120FD">
        <w:t>: single dose 5 years after primary series and every 5 years thereafter</w:t>
      </w:r>
      <w:r w:rsidR="00F5246A">
        <w:t>.</w:t>
      </w:r>
    </w:p>
    <w:p w14:paraId="50BF6CA7" w14:textId="77777777" w:rsidR="008A400D" w:rsidRPr="00D120FD" w:rsidRDefault="008A400D" w:rsidP="008F577E">
      <w:pPr>
        <w:pStyle w:val="ListBullet"/>
      </w:pPr>
      <w:r w:rsidRPr="00D120FD">
        <w:t>Travel to countries with hyperendemic or epidemic meningococcal disease, including countries in the African meningitis belt or during the Hajj (www.cdc.gov/travel/):</w:t>
      </w:r>
    </w:p>
    <w:p w14:paraId="5AB810F7" w14:textId="77777777" w:rsidR="008A400D" w:rsidRPr="00D120FD" w:rsidRDefault="008A400D" w:rsidP="008F577E">
      <w:pPr>
        <w:pStyle w:val="ListBullet"/>
        <w:numPr>
          <w:ilvl w:val="1"/>
          <w:numId w:val="24"/>
        </w:numPr>
      </w:pPr>
      <w:r w:rsidRPr="00D120FD">
        <w:t>Children less than age 24 months:</w:t>
      </w:r>
    </w:p>
    <w:p w14:paraId="626FCCD0" w14:textId="2EDFBE53" w:rsidR="008A400D" w:rsidRPr="0025540E" w:rsidRDefault="00484458" w:rsidP="008E7CB4">
      <w:pPr>
        <w:pStyle w:val="ListBullet"/>
        <w:numPr>
          <w:ilvl w:val="2"/>
          <w:numId w:val="24"/>
        </w:numPr>
      </w:pPr>
      <w:proofErr w:type="spellStart"/>
      <w:r w:rsidRPr="0025540E">
        <w:t>MenACYW</w:t>
      </w:r>
      <w:proofErr w:type="spellEnd"/>
      <w:r w:rsidRPr="0025540E">
        <w:t>-CRM (Menveo®)</w:t>
      </w:r>
    </w:p>
    <w:p w14:paraId="761135C7" w14:textId="31A058A6" w:rsidR="008A400D" w:rsidRPr="00D120FD" w:rsidRDefault="008A400D" w:rsidP="008E7CB4">
      <w:pPr>
        <w:pStyle w:val="ListBullet"/>
        <w:numPr>
          <w:ilvl w:val="3"/>
          <w:numId w:val="24"/>
        </w:numPr>
      </w:pPr>
      <w:r w:rsidRPr="00D120FD">
        <w:t>Dose 1 at age 2 months: 4-dose series (additional 3 doses at age 4, 6, and 12 months)</w:t>
      </w:r>
      <w:r w:rsidR="00F5246A">
        <w:t>.</w:t>
      </w:r>
    </w:p>
    <w:p w14:paraId="0D491AEB" w14:textId="5FD6DBEC" w:rsidR="008A400D" w:rsidRPr="00D120FD" w:rsidRDefault="008A400D" w:rsidP="008E7CB4">
      <w:pPr>
        <w:pStyle w:val="ListBullet"/>
        <w:numPr>
          <w:ilvl w:val="3"/>
          <w:numId w:val="24"/>
        </w:numPr>
      </w:pPr>
      <w:r w:rsidRPr="00D120FD">
        <w:t>Dose 1 at age 3–6 months: 3- or 4- dose series (dose 2 [and dose 3 if applicable] at least 8 weeks after previous dose until a dose is received at age 7 months or older, followed by an additional dose at least 12 weeks later and after age 12 months)</w:t>
      </w:r>
      <w:r w:rsidR="00F5246A">
        <w:t>.</w:t>
      </w:r>
    </w:p>
    <w:p w14:paraId="489A5428" w14:textId="34794CA3" w:rsidR="008A400D" w:rsidRPr="00D120FD" w:rsidRDefault="008A400D" w:rsidP="008E7CB4">
      <w:pPr>
        <w:pStyle w:val="ListBullet"/>
        <w:numPr>
          <w:ilvl w:val="3"/>
          <w:numId w:val="24"/>
        </w:numPr>
      </w:pPr>
      <w:r w:rsidRPr="00D120FD">
        <w:t>Dose 1 at age 7–23 months: 2-dose series (dose 2 at least 12 weeks after dose 1 and after age 12 months)</w:t>
      </w:r>
      <w:r w:rsidR="00F5246A">
        <w:t>.</w:t>
      </w:r>
    </w:p>
    <w:p w14:paraId="25D11B03" w14:textId="6141D3D7" w:rsidR="002246C9" w:rsidRPr="00D120FD" w:rsidRDefault="008A400D" w:rsidP="008F577E">
      <w:pPr>
        <w:pStyle w:val="ListBullet"/>
        <w:numPr>
          <w:ilvl w:val="1"/>
          <w:numId w:val="24"/>
        </w:numPr>
      </w:pPr>
      <w:r w:rsidRPr="0025540E">
        <w:t xml:space="preserve">Persons age 2 years or older: 1 dose </w:t>
      </w:r>
      <w:proofErr w:type="spellStart"/>
      <w:r w:rsidR="0025540E" w:rsidRPr="0025540E">
        <w:t>MenACYW</w:t>
      </w:r>
      <w:proofErr w:type="spellEnd"/>
      <w:r w:rsidR="0025540E" w:rsidRPr="0025540E">
        <w:t>-CRM (Menveo®)</w:t>
      </w:r>
      <w:r w:rsidRPr="0025540E">
        <w:t xml:space="preserve"> or </w:t>
      </w:r>
      <w:proofErr w:type="spellStart"/>
      <w:r w:rsidR="002246C9" w:rsidRPr="00D120FD">
        <w:t>MenACWY</w:t>
      </w:r>
      <w:proofErr w:type="spellEnd"/>
      <w:r w:rsidR="002246C9" w:rsidRPr="00D120FD">
        <w:t xml:space="preserve">-TT </w:t>
      </w:r>
      <w:r w:rsidR="002246C9">
        <w:t>(</w:t>
      </w:r>
      <w:proofErr w:type="spellStart"/>
      <w:r w:rsidR="002246C9" w:rsidRPr="00D120FD">
        <w:t>MenQuadfi</w:t>
      </w:r>
      <w:proofErr w:type="spellEnd"/>
      <w:r w:rsidR="002246C9" w:rsidRPr="00D120FD">
        <w:t>®</w:t>
      </w:r>
      <w:r w:rsidR="002246C9">
        <w:t>)</w:t>
      </w:r>
    </w:p>
    <w:p w14:paraId="5892ACEF" w14:textId="77777777" w:rsidR="008A400D" w:rsidRPr="002246C9" w:rsidRDefault="008A400D" w:rsidP="008F577E">
      <w:pPr>
        <w:pStyle w:val="ListBullet"/>
        <w:numPr>
          <w:ilvl w:val="1"/>
          <w:numId w:val="24"/>
        </w:numPr>
      </w:pPr>
      <w:r w:rsidRPr="008E7CB4">
        <w:rPr>
          <w:b/>
          <w:bCs/>
        </w:rPr>
        <w:t>Booster dose if remains at increased risk</w:t>
      </w:r>
      <w:r w:rsidRPr="002246C9">
        <w:t>:</w:t>
      </w:r>
    </w:p>
    <w:p w14:paraId="295E33B3" w14:textId="3CE0B0FC" w:rsidR="00F5246A" w:rsidRPr="00D120FD" w:rsidRDefault="008A400D" w:rsidP="008F577E">
      <w:pPr>
        <w:pStyle w:val="ListBullet"/>
        <w:numPr>
          <w:ilvl w:val="2"/>
          <w:numId w:val="24"/>
        </w:numPr>
      </w:pPr>
      <w:r w:rsidRPr="00C41DC2">
        <w:lastRenderedPageBreak/>
        <w:t>Less than 7 years:</w:t>
      </w:r>
      <w:r w:rsidRPr="00D120FD">
        <w:t xml:space="preserve"> single dose 3 years after primary series and every 5 years thereafter</w:t>
      </w:r>
      <w:r w:rsidR="00F5246A">
        <w:t>.</w:t>
      </w:r>
    </w:p>
    <w:p w14:paraId="4652668F" w14:textId="3A5E63FF" w:rsidR="000B1A88" w:rsidRPr="00F5246A" w:rsidRDefault="008A400D" w:rsidP="00F5246A">
      <w:pPr>
        <w:pStyle w:val="ListBullet"/>
        <w:numPr>
          <w:ilvl w:val="2"/>
          <w:numId w:val="24"/>
        </w:numPr>
        <w:rPr>
          <w:rFonts w:asciiTheme="minorHAnsi" w:eastAsiaTheme="minorHAnsi" w:hAnsiTheme="minorHAnsi"/>
        </w:rPr>
      </w:pPr>
      <w:r w:rsidRPr="00C41DC2">
        <w:t>7 years and older:</w:t>
      </w:r>
      <w:r w:rsidRPr="00D120FD">
        <w:t xml:space="preserve"> single dose 5 years after primary series and every 5 years thereafter</w:t>
      </w:r>
      <w:r w:rsidR="00F5246A">
        <w:t>.</w:t>
      </w:r>
    </w:p>
    <w:p w14:paraId="569AF4C0" w14:textId="77777777" w:rsidR="008A400D" w:rsidRPr="00D120FD" w:rsidRDefault="008A400D" w:rsidP="00C85E5E">
      <w:pPr>
        <w:pStyle w:val="ListBullet"/>
      </w:pPr>
      <w:r w:rsidRPr="00D120FD">
        <w:t xml:space="preserve">At risk adults: first-year college students who live in residential housing (if not previously vaccinated at age 16 years or older), military recruits or microbiologists routinely exposed to </w:t>
      </w:r>
      <w:r w:rsidRPr="00D120FD">
        <w:rPr>
          <w:i/>
          <w:iCs/>
        </w:rPr>
        <w:t>Neisseria meningitidis</w:t>
      </w:r>
      <w:r w:rsidRPr="00D120FD">
        <w:t>:</w:t>
      </w:r>
    </w:p>
    <w:p w14:paraId="63062D2B" w14:textId="0F791EFA" w:rsidR="002246C9" w:rsidRPr="00D120FD" w:rsidRDefault="008A400D" w:rsidP="00C85E5E">
      <w:pPr>
        <w:pStyle w:val="ListBullet"/>
        <w:numPr>
          <w:ilvl w:val="1"/>
          <w:numId w:val="24"/>
        </w:numPr>
      </w:pPr>
      <w:r w:rsidRPr="002246C9">
        <w:t xml:space="preserve">1 dose </w:t>
      </w:r>
      <w:proofErr w:type="spellStart"/>
      <w:r w:rsidR="0025540E" w:rsidRPr="002246C9">
        <w:t>MenACYW</w:t>
      </w:r>
      <w:proofErr w:type="spellEnd"/>
      <w:r w:rsidR="0025540E" w:rsidRPr="002246C9">
        <w:t>-CRM (Menveo®)</w:t>
      </w:r>
      <w:r w:rsidRPr="002246C9">
        <w:t xml:space="preserve"> or </w:t>
      </w:r>
      <w:proofErr w:type="spellStart"/>
      <w:r w:rsidR="002246C9" w:rsidRPr="00D120FD">
        <w:t>MenACWY</w:t>
      </w:r>
      <w:proofErr w:type="spellEnd"/>
      <w:r w:rsidR="002246C9" w:rsidRPr="00D120FD">
        <w:t xml:space="preserve">-TT </w:t>
      </w:r>
      <w:r w:rsidR="002246C9">
        <w:t>(</w:t>
      </w:r>
      <w:proofErr w:type="spellStart"/>
      <w:r w:rsidR="002246C9" w:rsidRPr="00D120FD">
        <w:t>MenQuadfi</w:t>
      </w:r>
      <w:proofErr w:type="spellEnd"/>
      <w:r w:rsidR="002246C9" w:rsidRPr="00D120FD">
        <w:t>®</w:t>
      </w:r>
      <w:r w:rsidR="002246C9">
        <w:t>)</w:t>
      </w:r>
      <w:r w:rsidR="00F5246A">
        <w:t>.</w:t>
      </w:r>
    </w:p>
    <w:p w14:paraId="1BA66721" w14:textId="77777777" w:rsidR="008A400D" w:rsidRPr="002246C9" w:rsidRDefault="008A400D" w:rsidP="00C85E5E">
      <w:pPr>
        <w:pStyle w:val="ListBullet"/>
        <w:numPr>
          <w:ilvl w:val="1"/>
          <w:numId w:val="24"/>
        </w:numPr>
      </w:pPr>
      <w:r w:rsidRPr="002246C9">
        <w:rPr>
          <w:b/>
          <w:bCs/>
        </w:rPr>
        <w:t>Booster dose if remains at increased risk</w:t>
      </w:r>
      <w:r w:rsidRPr="002246C9">
        <w:t xml:space="preserve">: </w:t>
      </w:r>
    </w:p>
    <w:p w14:paraId="2D3DF011" w14:textId="4587DBB9" w:rsidR="000B1A88" w:rsidRPr="00C85E5E" w:rsidRDefault="008A400D" w:rsidP="00C85E5E">
      <w:pPr>
        <w:pStyle w:val="ListBullet"/>
        <w:numPr>
          <w:ilvl w:val="2"/>
          <w:numId w:val="24"/>
        </w:numPr>
        <w:rPr>
          <w:rFonts w:asciiTheme="minorHAnsi" w:eastAsiaTheme="minorHAnsi" w:hAnsiTheme="minorHAnsi"/>
        </w:rPr>
      </w:pPr>
      <w:r w:rsidRPr="00D120FD">
        <w:t>For military recruits and microbiologists: every 5 years on basis of assignment</w:t>
      </w:r>
      <w:r w:rsidR="00F5246A">
        <w:t>.</w:t>
      </w:r>
    </w:p>
    <w:p w14:paraId="7A18DB7B" w14:textId="77777777" w:rsidR="008A400D" w:rsidRPr="00D120FD" w:rsidRDefault="008A400D" w:rsidP="00C85E5E">
      <w:pPr>
        <w:pStyle w:val="ListBullet"/>
      </w:pPr>
      <w:r w:rsidRPr="00D120FD">
        <w:t>Persons exposed during an outbreak of meningococcal disease due to a vaccine-preventable serogroup:</w:t>
      </w:r>
    </w:p>
    <w:p w14:paraId="26A90621" w14:textId="1B23FA66" w:rsidR="008A400D" w:rsidRPr="002246C9" w:rsidRDefault="008A400D" w:rsidP="00C85E5E">
      <w:pPr>
        <w:pStyle w:val="ListBullet"/>
        <w:numPr>
          <w:ilvl w:val="1"/>
          <w:numId w:val="24"/>
        </w:numPr>
      </w:pPr>
      <w:r w:rsidRPr="002246C9">
        <w:t xml:space="preserve">1 dose </w:t>
      </w:r>
      <w:proofErr w:type="spellStart"/>
      <w:r w:rsidR="0025540E" w:rsidRPr="002246C9">
        <w:t>MenACYW</w:t>
      </w:r>
      <w:proofErr w:type="spellEnd"/>
      <w:r w:rsidR="0025540E" w:rsidRPr="002246C9">
        <w:t xml:space="preserve">-CRM (Menveo®) </w:t>
      </w:r>
      <w:r w:rsidRPr="002246C9">
        <w:t xml:space="preserve">or </w:t>
      </w:r>
      <w:proofErr w:type="spellStart"/>
      <w:r w:rsidR="002246C9" w:rsidRPr="002246C9">
        <w:t>MenACWY</w:t>
      </w:r>
      <w:proofErr w:type="spellEnd"/>
      <w:r w:rsidR="002246C9" w:rsidRPr="002246C9">
        <w:t>-TT (</w:t>
      </w:r>
      <w:proofErr w:type="spellStart"/>
      <w:r w:rsidR="002246C9" w:rsidRPr="002246C9">
        <w:t>MenQuadfi</w:t>
      </w:r>
      <w:proofErr w:type="spellEnd"/>
      <w:r w:rsidR="002246C9" w:rsidRPr="002246C9">
        <w:t>®)</w:t>
      </w:r>
      <w:r w:rsidR="00906223">
        <w:t>.</w:t>
      </w:r>
    </w:p>
    <w:p w14:paraId="3D5CF0FC" w14:textId="77777777" w:rsidR="008A400D" w:rsidRDefault="008A400D" w:rsidP="00C85E5E">
      <w:pPr>
        <w:pStyle w:val="ListBullet"/>
        <w:numPr>
          <w:ilvl w:val="1"/>
          <w:numId w:val="24"/>
        </w:numPr>
      </w:pPr>
      <w:r w:rsidRPr="068E1BE1">
        <w:rPr>
          <w:b/>
          <w:bCs/>
          <w:color w:val="212529"/>
        </w:rPr>
        <w:t>Boosters (if person previously vaccinated and identified as being at increased risk during an outbreak):</w:t>
      </w:r>
    </w:p>
    <w:p w14:paraId="3195DAF3" w14:textId="02E67FB3" w:rsidR="008A400D" w:rsidRDefault="008A400D" w:rsidP="00C85E5E">
      <w:pPr>
        <w:pStyle w:val="ListBullet"/>
        <w:numPr>
          <w:ilvl w:val="2"/>
          <w:numId w:val="24"/>
        </w:numPr>
      </w:pPr>
      <w:r w:rsidRPr="00C41DC2">
        <w:t>Less than 7 years:</w:t>
      </w:r>
      <w:r w:rsidRPr="068E1BE1">
        <w:t xml:space="preserve"> single dose </w:t>
      </w:r>
      <w:r>
        <w:t xml:space="preserve">if </w:t>
      </w:r>
      <w:r>
        <w:rPr>
          <w:rFonts w:cstheme="minorHAnsi"/>
        </w:rPr>
        <w:t>≥</w:t>
      </w:r>
      <w:r>
        <w:t xml:space="preserve"> </w:t>
      </w:r>
      <w:r w:rsidRPr="068E1BE1">
        <w:t xml:space="preserve">3 years </w:t>
      </w:r>
      <w:r>
        <w:t>since vaccination</w:t>
      </w:r>
      <w:r w:rsidR="00906223">
        <w:t>.</w:t>
      </w:r>
    </w:p>
    <w:p w14:paraId="5CFD693A" w14:textId="5FBD9DE3" w:rsidR="008A400D" w:rsidRDefault="008A400D" w:rsidP="00C85E5E">
      <w:pPr>
        <w:pStyle w:val="ListBullet"/>
        <w:numPr>
          <w:ilvl w:val="2"/>
          <w:numId w:val="24"/>
        </w:numPr>
      </w:pPr>
      <w:r w:rsidRPr="00C41DC2">
        <w:t>7 years and older:</w:t>
      </w:r>
      <w:r w:rsidRPr="068E1BE1">
        <w:t xml:space="preserve"> single dose </w:t>
      </w:r>
      <w:r>
        <w:t xml:space="preserve">if </w:t>
      </w:r>
      <w:r>
        <w:rPr>
          <w:rFonts w:cstheme="minorHAnsi"/>
        </w:rPr>
        <w:t>≥</w:t>
      </w:r>
      <w:r>
        <w:t xml:space="preserve"> </w:t>
      </w:r>
      <w:r w:rsidRPr="068E1BE1">
        <w:t xml:space="preserve">5 years </w:t>
      </w:r>
      <w:r>
        <w:t>since vaccination</w:t>
      </w:r>
      <w:r w:rsidR="00906223">
        <w:t>.</w:t>
      </w:r>
    </w:p>
    <w:p w14:paraId="47F71219" w14:textId="436F67B7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791D5D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43845" w14:textId="77777777" w:rsidR="00CC08F1" w:rsidRDefault="00CC08F1" w:rsidP="00D36495">
      <w:r>
        <w:separator/>
      </w:r>
    </w:p>
  </w:endnote>
  <w:endnote w:type="continuationSeparator" w:id="0">
    <w:p w14:paraId="5E5F415F" w14:textId="77777777" w:rsidR="00CC08F1" w:rsidRDefault="00CC08F1" w:rsidP="00D36495">
      <w:r>
        <w:continuationSeparator/>
      </w:r>
    </w:p>
  </w:endnote>
  <w:endnote w:type="continuationNotice" w:id="1">
    <w:p w14:paraId="656964F1" w14:textId="77777777" w:rsidR="00CC08F1" w:rsidRDefault="00CC08F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50E5" w14:textId="77777777" w:rsidR="00CC08F1" w:rsidRDefault="00CC08F1" w:rsidP="00D36495">
      <w:r>
        <w:separator/>
      </w:r>
    </w:p>
  </w:footnote>
  <w:footnote w:type="continuationSeparator" w:id="0">
    <w:p w14:paraId="57968853" w14:textId="77777777" w:rsidR="00CC08F1" w:rsidRDefault="00CC08F1" w:rsidP="00D36495">
      <w:r>
        <w:continuationSeparator/>
      </w:r>
    </w:p>
  </w:footnote>
  <w:footnote w:type="continuationNotice" w:id="1">
    <w:p w14:paraId="1782E466" w14:textId="77777777" w:rsidR="00CC08F1" w:rsidRDefault="00CC08F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50F5A7FD" w:rsidR="00782710" w:rsidRPr="00332013" w:rsidRDefault="00332013" w:rsidP="00332013">
    <w:pPr>
      <w:pStyle w:val="Header"/>
    </w:pPr>
    <w:r w:rsidRPr="00AF164C">
      <w:t>Meningococcal Conjugate Vaccine</w:t>
    </w:r>
    <w:r>
      <w:t>, 4-Valent (MCV4)</w:t>
    </w:r>
    <w:r w:rsidRPr="00AF164C">
      <w:t xml:space="preserve"> </w:t>
    </w:r>
    <w:r>
      <w:t xml:space="preserve">for Routine, Catch-up, At-risk, and Booster Dose Vaccine </w:t>
    </w:r>
    <w:r w:rsidRPr="00AF164C">
      <w:t>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B3AC5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58A237E"/>
    <w:multiLevelType w:val="hybridMultilevel"/>
    <w:tmpl w:val="ACEC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6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C13B7"/>
    <w:multiLevelType w:val="multilevel"/>
    <w:tmpl w:val="88B4C196"/>
    <w:numStyleLink w:val="Listbullets"/>
  </w:abstractNum>
  <w:abstractNum w:abstractNumId="8" w15:restartNumberingAfterBreak="0">
    <w:nsid w:val="1F594ADD"/>
    <w:multiLevelType w:val="hybridMultilevel"/>
    <w:tmpl w:val="76C6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D5C54"/>
    <w:multiLevelType w:val="hybridMultilevel"/>
    <w:tmpl w:val="B83C6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8821472"/>
    <w:multiLevelType w:val="hybridMultilevel"/>
    <w:tmpl w:val="4B32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DE653A9"/>
    <w:multiLevelType w:val="hybridMultilevel"/>
    <w:tmpl w:val="622A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7" w15:restartNumberingAfterBreak="0">
    <w:nsid w:val="55137B6B"/>
    <w:multiLevelType w:val="hybridMultilevel"/>
    <w:tmpl w:val="CBA8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14C7C"/>
    <w:multiLevelType w:val="hybridMultilevel"/>
    <w:tmpl w:val="F310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40D60"/>
    <w:multiLevelType w:val="hybridMultilevel"/>
    <w:tmpl w:val="9D60F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628240538">
    <w:abstractNumId w:val="18"/>
  </w:num>
  <w:num w:numId="2" w16cid:durableId="780029197">
    <w:abstractNumId w:val="1"/>
  </w:num>
  <w:num w:numId="3" w16cid:durableId="779304087">
    <w:abstractNumId w:val="0"/>
  </w:num>
  <w:num w:numId="4" w16cid:durableId="714739700">
    <w:abstractNumId w:val="14"/>
  </w:num>
  <w:num w:numId="5" w16cid:durableId="1193543122">
    <w:abstractNumId w:val="22"/>
  </w:num>
  <w:num w:numId="6" w16cid:durableId="1790081421">
    <w:abstractNumId w:val="5"/>
  </w:num>
  <w:num w:numId="7" w16cid:durableId="2043705208">
    <w:abstractNumId w:val="3"/>
  </w:num>
  <w:num w:numId="8" w16cid:durableId="227351375">
    <w:abstractNumId w:val="11"/>
  </w:num>
  <w:num w:numId="9" w16cid:durableId="1754084955">
    <w:abstractNumId w:val="7"/>
    <w:lvlOverride w:ilvl="0">
      <w:lvl w:ilvl="0">
        <w:start w:val="1"/>
        <w:numFmt w:val="bullet"/>
        <w:pStyle w:val="ListBullet"/>
        <w:lvlText w:val="▪"/>
        <w:lvlJc w:val="left"/>
        <w:pPr>
          <w:tabs>
            <w:tab w:val="num" w:pos="432"/>
          </w:tabs>
          <w:ind w:left="360" w:hanging="360"/>
        </w:pPr>
        <w:rPr>
          <w:rFonts w:ascii="Calibri" w:hAnsi="Calibri" w:hint="default"/>
          <w:color w:val="008EAA"/>
          <w:sz w:val="20"/>
          <w:szCs w:val="20"/>
        </w:rPr>
      </w:lvl>
    </w:lvlOverride>
  </w:num>
  <w:num w:numId="10" w16cid:durableId="246232316">
    <w:abstractNumId w:val="20"/>
  </w:num>
  <w:num w:numId="11" w16cid:durableId="1400325667">
    <w:abstractNumId w:val="16"/>
  </w:num>
  <w:num w:numId="12" w16cid:durableId="2028948053">
    <w:abstractNumId w:val="10"/>
  </w:num>
  <w:num w:numId="13" w16cid:durableId="1431927974">
    <w:abstractNumId w:val="12"/>
  </w:num>
  <w:num w:numId="14" w16cid:durableId="1378319031">
    <w:abstractNumId w:val="6"/>
  </w:num>
  <w:num w:numId="15" w16cid:durableId="561058302">
    <w:abstractNumId w:val="21"/>
  </w:num>
  <w:num w:numId="16" w16cid:durableId="2057776304">
    <w:abstractNumId w:val="2"/>
  </w:num>
  <w:num w:numId="17" w16cid:durableId="1985963045">
    <w:abstractNumId w:val="8"/>
  </w:num>
  <w:num w:numId="18" w16cid:durableId="844125779">
    <w:abstractNumId w:val="13"/>
  </w:num>
  <w:num w:numId="19" w16cid:durableId="5327684">
    <w:abstractNumId w:val="17"/>
  </w:num>
  <w:num w:numId="20" w16cid:durableId="884757558">
    <w:abstractNumId w:val="15"/>
  </w:num>
  <w:num w:numId="21" w16cid:durableId="1839884134">
    <w:abstractNumId w:val="9"/>
  </w:num>
  <w:num w:numId="22" w16cid:durableId="54089326">
    <w:abstractNumId w:val="19"/>
  </w:num>
  <w:num w:numId="23" w16cid:durableId="925959935">
    <w:abstractNumId w:val="4"/>
  </w:num>
  <w:num w:numId="24" w16cid:durableId="410782416">
    <w:abstractNumId w:val="7"/>
    <w:lvlOverride w:ilvl="0">
      <w:lvl w:ilvl="0">
        <w:start w:val="1"/>
        <w:numFmt w:val="bullet"/>
        <w:pStyle w:val="ListBullet"/>
        <w:lvlText w:val="▪"/>
        <w:lvlJc w:val="left"/>
        <w:pPr>
          <w:tabs>
            <w:tab w:val="num" w:pos="432"/>
          </w:tabs>
          <w:ind w:left="360" w:hanging="360"/>
        </w:pPr>
        <w:rPr>
          <w:rFonts w:ascii="Calibri" w:hAnsi="Calibri" w:hint="default"/>
          <w:color w:val="008EAA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4726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8A5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B8C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700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4C84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2BF3"/>
    <w:rsid w:val="00083156"/>
    <w:rsid w:val="00084078"/>
    <w:rsid w:val="000845A8"/>
    <w:rsid w:val="000847C2"/>
    <w:rsid w:val="00084F5D"/>
    <w:rsid w:val="000850DB"/>
    <w:rsid w:val="000853EF"/>
    <w:rsid w:val="000866F6"/>
    <w:rsid w:val="00086D73"/>
    <w:rsid w:val="0008769C"/>
    <w:rsid w:val="00087A1F"/>
    <w:rsid w:val="00087A7E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A88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D7853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41D4"/>
    <w:rsid w:val="00135E03"/>
    <w:rsid w:val="0013679F"/>
    <w:rsid w:val="00136982"/>
    <w:rsid w:val="00137273"/>
    <w:rsid w:val="00140091"/>
    <w:rsid w:val="0014026B"/>
    <w:rsid w:val="0014091D"/>
    <w:rsid w:val="00140A53"/>
    <w:rsid w:val="00140A58"/>
    <w:rsid w:val="001415AF"/>
    <w:rsid w:val="00141E6B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46A9"/>
    <w:rsid w:val="00164CBB"/>
    <w:rsid w:val="001652EF"/>
    <w:rsid w:val="00166394"/>
    <w:rsid w:val="00166451"/>
    <w:rsid w:val="001666BE"/>
    <w:rsid w:val="0016692A"/>
    <w:rsid w:val="00166B0F"/>
    <w:rsid w:val="001672EA"/>
    <w:rsid w:val="001700D6"/>
    <w:rsid w:val="001705B3"/>
    <w:rsid w:val="0017110F"/>
    <w:rsid w:val="00171153"/>
    <w:rsid w:val="0017225D"/>
    <w:rsid w:val="00172BED"/>
    <w:rsid w:val="001733FD"/>
    <w:rsid w:val="00173894"/>
    <w:rsid w:val="00174701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0EF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1EA0"/>
    <w:rsid w:val="001C246A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4E10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E90"/>
    <w:rsid w:val="001F3F10"/>
    <w:rsid w:val="001F5341"/>
    <w:rsid w:val="001F543A"/>
    <w:rsid w:val="001F58A5"/>
    <w:rsid w:val="001F732C"/>
    <w:rsid w:val="001F784B"/>
    <w:rsid w:val="002011CB"/>
    <w:rsid w:val="00201610"/>
    <w:rsid w:val="00201734"/>
    <w:rsid w:val="00201751"/>
    <w:rsid w:val="002017AB"/>
    <w:rsid w:val="0020185F"/>
    <w:rsid w:val="002018E3"/>
    <w:rsid w:val="00201F54"/>
    <w:rsid w:val="002027E6"/>
    <w:rsid w:val="00202F08"/>
    <w:rsid w:val="002030DA"/>
    <w:rsid w:val="00203351"/>
    <w:rsid w:val="002034D9"/>
    <w:rsid w:val="0020443E"/>
    <w:rsid w:val="00205332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46C9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40E"/>
    <w:rsid w:val="00255570"/>
    <w:rsid w:val="00256E52"/>
    <w:rsid w:val="00260412"/>
    <w:rsid w:val="002608BD"/>
    <w:rsid w:val="002624DF"/>
    <w:rsid w:val="00262A64"/>
    <w:rsid w:val="00262C20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5298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571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6CB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874"/>
    <w:rsid w:val="002E4CF6"/>
    <w:rsid w:val="002E5019"/>
    <w:rsid w:val="002E54EA"/>
    <w:rsid w:val="002E5A01"/>
    <w:rsid w:val="002E5D7E"/>
    <w:rsid w:val="002E68AB"/>
    <w:rsid w:val="002E6A3D"/>
    <w:rsid w:val="002E6D8D"/>
    <w:rsid w:val="002E789F"/>
    <w:rsid w:val="002E7B59"/>
    <w:rsid w:val="002F0C31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013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50D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662"/>
    <w:rsid w:val="003768A0"/>
    <w:rsid w:val="00377080"/>
    <w:rsid w:val="003775E9"/>
    <w:rsid w:val="003806B9"/>
    <w:rsid w:val="00381172"/>
    <w:rsid w:val="003817AE"/>
    <w:rsid w:val="00381863"/>
    <w:rsid w:val="00382C89"/>
    <w:rsid w:val="003839DA"/>
    <w:rsid w:val="003850E1"/>
    <w:rsid w:val="00385CF0"/>
    <w:rsid w:val="00385F7C"/>
    <w:rsid w:val="003860D2"/>
    <w:rsid w:val="00387470"/>
    <w:rsid w:val="003878D2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DF0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5D4C"/>
    <w:rsid w:val="003A6BE3"/>
    <w:rsid w:val="003A6C29"/>
    <w:rsid w:val="003A6FED"/>
    <w:rsid w:val="003A7E2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3004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59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0482"/>
    <w:rsid w:val="0044318B"/>
    <w:rsid w:val="004439D5"/>
    <w:rsid w:val="00443B09"/>
    <w:rsid w:val="0044428B"/>
    <w:rsid w:val="0044442D"/>
    <w:rsid w:val="00445B5F"/>
    <w:rsid w:val="00446A28"/>
    <w:rsid w:val="00446D41"/>
    <w:rsid w:val="0044794C"/>
    <w:rsid w:val="00450878"/>
    <w:rsid w:val="0045153C"/>
    <w:rsid w:val="00451B82"/>
    <w:rsid w:val="00451CDD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6FBB"/>
    <w:rsid w:val="00477346"/>
    <w:rsid w:val="004774DF"/>
    <w:rsid w:val="00477E47"/>
    <w:rsid w:val="00480106"/>
    <w:rsid w:val="004801FE"/>
    <w:rsid w:val="00480ADC"/>
    <w:rsid w:val="00480FC1"/>
    <w:rsid w:val="00481BCE"/>
    <w:rsid w:val="00481E01"/>
    <w:rsid w:val="00481F5B"/>
    <w:rsid w:val="004830BB"/>
    <w:rsid w:val="0048387B"/>
    <w:rsid w:val="0048403B"/>
    <w:rsid w:val="00484458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174E"/>
    <w:rsid w:val="0049222A"/>
    <w:rsid w:val="00493690"/>
    <w:rsid w:val="00493D60"/>
    <w:rsid w:val="0049578A"/>
    <w:rsid w:val="00495F3D"/>
    <w:rsid w:val="004961EC"/>
    <w:rsid w:val="00497AC9"/>
    <w:rsid w:val="004A0154"/>
    <w:rsid w:val="004A12A1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170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38E"/>
    <w:rsid w:val="00505D35"/>
    <w:rsid w:val="005064DD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201"/>
    <w:rsid w:val="005239F8"/>
    <w:rsid w:val="005245D7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59C1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3F9D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5B7E"/>
    <w:rsid w:val="00566CA9"/>
    <w:rsid w:val="00567279"/>
    <w:rsid w:val="005713AD"/>
    <w:rsid w:val="00571C27"/>
    <w:rsid w:val="00572578"/>
    <w:rsid w:val="0057263F"/>
    <w:rsid w:val="0057294B"/>
    <w:rsid w:val="005729A8"/>
    <w:rsid w:val="00572A2B"/>
    <w:rsid w:val="00572C54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97F78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8CF"/>
    <w:rsid w:val="005A6944"/>
    <w:rsid w:val="005A6E7B"/>
    <w:rsid w:val="005A6F41"/>
    <w:rsid w:val="005A7400"/>
    <w:rsid w:val="005A78D9"/>
    <w:rsid w:val="005A7B5E"/>
    <w:rsid w:val="005A7EAE"/>
    <w:rsid w:val="005B01E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762"/>
    <w:rsid w:val="005C4813"/>
    <w:rsid w:val="005C5479"/>
    <w:rsid w:val="005C5B9C"/>
    <w:rsid w:val="005C5CF0"/>
    <w:rsid w:val="005C5DD6"/>
    <w:rsid w:val="005C6053"/>
    <w:rsid w:val="005C73DA"/>
    <w:rsid w:val="005D0DEB"/>
    <w:rsid w:val="005D1947"/>
    <w:rsid w:val="005D1FA5"/>
    <w:rsid w:val="005D253D"/>
    <w:rsid w:val="005D2C1A"/>
    <w:rsid w:val="005D37DC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9A6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92C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71D"/>
    <w:rsid w:val="00625BE1"/>
    <w:rsid w:val="00625C4B"/>
    <w:rsid w:val="00626CFC"/>
    <w:rsid w:val="00626D9E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3F6E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6CA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493C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A7AE1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6AFE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D7CA1"/>
    <w:rsid w:val="006E12BB"/>
    <w:rsid w:val="006E1788"/>
    <w:rsid w:val="006E17EA"/>
    <w:rsid w:val="006E2424"/>
    <w:rsid w:val="006E2D22"/>
    <w:rsid w:val="006E303E"/>
    <w:rsid w:val="006E307E"/>
    <w:rsid w:val="006E350D"/>
    <w:rsid w:val="006E4B0F"/>
    <w:rsid w:val="006E5A22"/>
    <w:rsid w:val="006F0136"/>
    <w:rsid w:val="006F0597"/>
    <w:rsid w:val="006F1632"/>
    <w:rsid w:val="006F17C0"/>
    <w:rsid w:val="006F1854"/>
    <w:rsid w:val="006F1E23"/>
    <w:rsid w:val="006F2684"/>
    <w:rsid w:val="006F293C"/>
    <w:rsid w:val="006F456A"/>
    <w:rsid w:val="006F53A4"/>
    <w:rsid w:val="006F563A"/>
    <w:rsid w:val="006F5AB0"/>
    <w:rsid w:val="006F5AD1"/>
    <w:rsid w:val="006F65B3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434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1DC"/>
    <w:rsid w:val="007542F3"/>
    <w:rsid w:val="007543A1"/>
    <w:rsid w:val="00754B2E"/>
    <w:rsid w:val="00754BE4"/>
    <w:rsid w:val="00755572"/>
    <w:rsid w:val="00755EBF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A6D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6344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D5D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97BA3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6E60"/>
    <w:rsid w:val="007A765B"/>
    <w:rsid w:val="007A7B82"/>
    <w:rsid w:val="007B1A35"/>
    <w:rsid w:val="007B25C5"/>
    <w:rsid w:val="007B3222"/>
    <w:rsid w:val="007B34F4"/>
    <w:rsid w:val="007B4052"/>
    <w:rsid w:val="007B4571"/>
    <w:rsid w:val="007B4E0F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645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46BA"/>
    <w:rsid w:val="007E5327"/>
    <w:rsid w:val="007E537B"/>
    <w:rsid w:val="007E63EA"/>
    <w:rsid w:val="007E643C"/>
    <w:rsid w:val="007E674F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234"/>
    <w:rsid w:val="00834ACA"/>
    <w:rsid w:val="00836BB7"/>
    <w:rsid w:val="008377E6"/>
    <w:rsid w:val="00837C06"/>
    <w:rsid w:val="0084061F"/>
    <w:rsid w:val="00843E84"/>
    <w:rsid w:val="00844070"/>
    <w:rsid w:val="00844445"/>
    <w:rsid w:val="008445DD"/>
    <w:rsid w:val="008450B0"/>
    <w:rsid w:val="008450E3"/>
    <w:rsid w:val="0084516F"/>
    <w:rsid w:val="008465CA"/>
    <w:rsid w:val="0084760B"/>
    <w:rsid w:val="00847B16"/>
    <w:rsid w:val="0085035A"/>
    <w:rsid w:val="008529CC"/>
    <w:rsid w:val="008531CA"/>
    <w:rsid w:val="00853AD4"/>
    <w:rsid w:val="008541ED"/>
    <w:rsid w:val="008545C9"/>
    <w:rsid w:val="00854C0F"/>
    <w:rsid w:val="00855393"/>
    <w:rsid w:val="008558C6"/>
    <w:rsid w:val="00855A83"/>
    <w:rsid w:val="00857C0B"/>
    <w:rsid w:val="00860031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64DC"/>
    <w:rsid w:val="008676D6"/>
    <w:rsid w:val="00867F65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2619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00D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29E6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8C5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1FC8"/>
    <w:rsid w:val="008E470A"/>
    <w:rsid w:val="008E5400"/>
    <w:rsid w:val="008E5500"/>
    <w:rsid w:val="008E5789"/>
    <w:rsid w:val="008E579C"/>
    <w:rsid w:val="008E5AB9"/>
    <w:rsid w:val="008E7CB4"/>
    <w:rsid w:val="008E7F52"/>
    <w:rsid w:val="008F001B"/>
    <w:rsid w:val="008F07FB"/>
    <w:rsid w:val="008F204A"/>
    <w:rsid w:val="008F2B1D"/>
    <w:rsid w:val="008F2FF6"/>
    <w:rsid w:val="008F3638"/>
    <w:rsid w:val="008F47A9"/>
    <w:rsid w:val="008F577E"/>
    <w:rsid w:val="008F634A"/>
    <w:rsid w:val="008F63CA"/>
    <w:rsid w:val="008F65FF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6223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219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CEA"/>
    <w:rsid w:val="00941F01"/>
    <w:rsid w:val="0094220E"/>
    <w:rsid w:val="00942355"/>
    <w:rsid w:val="0094241B"/>
    <w:rsid w:val="00942956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0C8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1090"/>
    <w:rsid w:val="00972550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6A04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9AE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0CFB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65DE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0F29"/>
    <w:rsid w:val="00A313E1"/>
    <w:rsid w:val="00A3148A"/>
    <w:rsid w:val="00A3191B"/>
    <w:rsid w:val="00A32113"/>
    <w:rsid w:val="00A32A11"/>
    <w:rsid w:val="00A33A00"/>
    <w:rsid w:val="00A33F6C"/>
    <w:rsid w:val="00A3465B"/>
    <w:rsid w:val="00A359CD"/>
    <w:rsid w:val="00A35D95"/>
    <w:rsid w:val="00A35EB4"/>
    <w:rsid w:val="00A365C7"/>
    <w:rsid w:val="00A3692F"/>
    <w:rsid w:val="00A370A3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1F02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B37"/>
    <w:rsid w:val="00A51C7A"/>
    <w:rsid w:val="00A51D6A"/>
    <w:rsid w:val="00A52557"/>
    <w:rsid w:val="00A5402D"/>
    <w:rsid w:val="00A542FC"/>
    <w:rsid w:val="00A54409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1D0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51E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4F36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7D3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1A4E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64C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0C8D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0C99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2A92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1FF"/>
    <w:rsid w:val="00B94C9F"/>
    <w:rsid w:val="00B950E0"/>
    <w:rsid w:val="00B956F3"/>
    <w:rsid w:val="00B95FAA"/>
    <w:rsid w:val="00B960C0"/>
    <w:rsid w:val="00B9700F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36E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5C64"/>
    <w:rsid w:val="00BC73FF"/>
    <w:rsid w:val="00BD13D1"/>
    <w:rsid w:val="00BD1B21"/>
    <w:rsid w:val="00BD1DC2"/>
    <w:rsid w:val="00BD20BA"/>
    <w:rsid w:val="00BD3455"/>
    <w:rsid w:val="00BD3A20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4B12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59D5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33EB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442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8C9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5E5E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173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35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8F1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18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5FAD"/>
    <w:rsid w:val="00D065A2"/>
    <w:rsid w:val="00D06EE6"/>
    <w:rsid w:val="00D1062D"/>
    <w:rsid w:val="00D11CCD"/>
    <w:rsid w:val="00D12FEB"/>
    <w:rsid w:val="00D1553E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5FC"/>
    <w:rsid w:val="00D27AAA"/>
    <w:rsid w:val="00D27C90"/>
    <w:rsid w:val="00D3022F"/>
    <w:rsid w:val="00D30CCE"/>
    <w:rsid w:val="00D31095"/>
    <w:rsid w:val="00D310DE"/>
    <w:rsid w:val="00D321DC"/>
    <w:rsid w:val="00D332D8"/>
    <w:rsid w:val="00D3373B"/>
    <w:rsid w:val="00D3573C"/>
    <w:rsid w:val="00D3640A"/>
    <w:rsid w:val="00D36445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AA0"/>
    <w:rsid w:val="00D60D51"/>
    <w:rsid w:val="00D61E54"/>
    <w:rsid w:val="00D61EDA"/>
    <w:rsid w:val="00D637B9"/>
    <w:rsid w:val="00D63938"/>
    <w:rsid w:val="00D65D63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7734E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168A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995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6AE7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4F46"/>
    <w:rsid w:val="00DD5EF2"/>
    <w:rsid w:val="00DD753F"/>
    <w:rsid w:val="00DE045B"/>
    <w:rsid w:val="00DE0828"/>
    <w:rsid w:val="00DE0BDB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175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5365"/>
    <w:rsid w:val="00E061F6"/>
    <w:rsid w:val="00E06460"/>
    <w:rsid w:val="00E06816"/>
    <w:rsid w:val="00E07157"/>
    <w:rsid w:val="00E0795E"/>
    <w:rsid w:val="00E07E31"/>
    <w:rsid w:val="00E11213"/>
    <w:rsid w:val="00E12269"/>
    <w:rsid w:val="00E138A4"/>
    <w:rsid w:val="00E13F6F"/>
    <w:rsid w:val="00E14753"/>
    <w:rsid w:val="00E1520A"/>
    <w:rsid w:val="00E1530B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27654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868"/>
    <w:rsid w:val="00E36C8C"/>
    <w:rsid w:val="00E3769D"/>
    <w:rsid w:val="00E37BD9"/>
    <w:rsid w:val="00E417AF"/>
    <w:rsid w:val="00E41AA4"/>
    <w:rsid w:val="00E422F9"/>
    <w:rsid w:val="00E43258"/>
    <w:rsid w:val="00E43E24"/>
    <w:rsid w:val="00E44A55"/>
    <w:rsid w:val="00E5014A"/>
    <w:rsid w:val="00E5092A"/>
    <w:rsid w:val="00E50B38"/>
    <w:rsid w:val="00E50BB1"/>
    <w:rsid w:val="00E51BDE"/>
    <w:rsid w:val="00E523E4"/>
    <w:rsid w:val="00E52D7B"/>
    <w:rsid w:val="00E531C2"/>
    <w:rsid w:val="00E53639"/>
    <w:rsid w:val="00E5407B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6A4"/>
    <w:rsid w:val="00E65AF2"/>
    <w:rsid w:val="00E6666B"/>
    <w:rsid w:val="00E704CC"/>
    <w:rsid w:val="00E70696"/>
    <w:rsid w:val="00E7072A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4816"/>
    <w:rsid w:val="00EB5253"/>
    <w:rsid w:val="00EB615F"/>
    <w:rsid w:val="00EB623B"/>
    <w:rsid w:val="00EB7BBF"/>
    <w:rsid w:val="00EB7EF3"/>
    <w:rsid w:val="00EC06D8"/>
    <w:rsid w:val="00EC2780"/>
    <w:rsid w:val="00EC2B83"/>
    <w:rsid w:val="00EC2E3B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0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4EA6"/>
    <w:rsid w:val="00EE55CC"/>
    <w:rsid w:val="00EE5D2B"/>
    <w:rsid w:val="00EE6250"/>
    <w:rsid w:val="00EE7113"/>
    <w:rsid w:val="00EE76AF"/>
    <w:rsid w:val="00EE7758"/>
    <w:rsid w:val="00EF21B3"/>
    <w:rsid w:val="00EF2505"/>
    <w:rsid w:val="00EF25A3"/>
    <w:rsid w:val="00EF25B5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0E2B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6A"/>
    <w:rsid w:val="00F52493"/>
    <w:rsid w:val="00F52F69"/>
    <w:rsid w:val="00F53379"/>
    <w:rsid w:val="00F53AD6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42BB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18C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49ED446D-0428-40B8-A4F4-CB389DB6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68493C"/>
    <w:pPr>
      <w:suppressAutoHyphens/>
      <w:spacing w:before="120" w:after="120"/>
    </w:pPr>
  </w:style>
  <w:style w:type="paragraph" w:styleId="Heading1">
    <w:name w:val="heading 1"/>
    <w:aliases w:val="H1 Title"/>
    <w:next w:val="Normal"/>
    <w:link w:val="Heading1Char"/>
    <w:uiPriority w:val="4"/>
    <w:qFormat/>
    <w:rsid w:val="00E5014A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927219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927219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E5014A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927219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927219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776344"/>
    <w:pPr>
      <w:numPr>
        <w:numId w:val="24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927219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AA4F3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4F0170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2D66C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D66C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277222-B5AC-49A5-99D5-2124C4680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95469566-ff15-40dd-a806-b3ff38c3d566"/>
    <ds:schemaRef ds:uri="fff41837-5838-4dec-ad5d-0fd8d2f0516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3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Meningococcal Conjugate Vaccine as MenACYW-CRM (Menveo) Vaccine Protocol</vt:lpstr>
    </vt:vector>
  </TitlesOfParts>
  <Company>State of Minnesota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Meningococcal Conjugate Vaccine, 4-Valent (MCV4) for Routine, Catch-up, At-risk, and Booster Dose Vaccine Protocol</dc:title>
  <dc:subject>Meningococcal Conjugate Vaccine, 4-Valent (MCV4) for Routine, Catch-up, At-risk, and Booster Dose Vaccine Protocol</dc:subject>
  <dc:creator>Minnesota Dept. of Health</dc:creator>
  <cp:keywords/>
  <dc:description/>
  <cp:lastModifiedBy>Schultz, Tracy (She/Her/Hers) (MDH)</cp:lastModifiedBy>
  <cp:revision>7</cp:revision>
  <cp:lastPrinted>2016-12-14T22:03:00Z</cp:lastPrinted>
  <dcterms:created xsi:type="dcterms:W3CDTF">2023-06-05T13:25:00Z</dcterms:created>
  <dcterms:modified xsi:type="dcterms:W3CDTF">2026-01-15T16:17:00Z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