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4470F8F4" w:rsidR="000B3E7D" w:rsidRDefault="00805D39" w:rsidP="000B3E7D">
      <w:pPr>
        <w:pStyle w:val="Heading1"/>
      </w:pPr>
      <w:r w:rsidRPr="00185403">
        <w:t xml:space="preserve">Inactivated </w:t>
      </w:r>
      <w:r>
        <w:t>Influenza Vaccine (IIV)</w:t>
      </w:r>
      <w:r w:rsidR="00900576">
        <w:t xml:space="preserve"> </w:t>
      </w:r>
      <w:r w:rsidR="00066679">
        <w:t xml:space="preserve">Vaccine </w:t>
      </w:r>
      <w:r w:rsidR="005B1A82">
        <w:t>Protocol</w:t>
      </w:r>
    </w:p>
    <w:p w14:paraId="0FB35ED1" w14:textId="77777777" w:rsidR="00D7660D" w:rsidRDefault="00D7660D" w:rsidP="00D7660D">
      <w:pPr>
        <w:pStyle w:val="Subtitle"/>
      </w:pPr>
      <w:r>
        <w:t xml:space="preserve">vaccine protocol for </w:t>
      </w:r>
      <w:r w:rsidRPr="00185403">
        <w:t>Children Age 6 Months Through 8 Years</w:t>
      </w:r>
    </w:p>
    <w:p w14:paraId="4BAE6FFB" w14:textId="38DEEA7B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C85B0C">
        <w:rPr>
          <w:b/>
          <w:bCs/>
          <w:color w:val="C00000"/>
        </w:rPr>
        <w:t xml:space="preserve">August </w:t>
      </w:r>
      <w:r w:rsidR="00E15152">
        <w:rPr>
          <w:b/>
          <w:bCs/>
          <w:color w:val="C00000"/>
        </w:rPr>
        <w:t>2</w:t>
      </w:r>
      <w:r w:rsidR="00CA6028">
        <w:rPr>
          <w:b/>
          <w:bCs/>
          <w:color w:val="C00000"/>
        </w:rPr>
        <w:t>8</w:t>
      </w:r>
      <w:r w:rsidR="00E15152">
        <w:rPr>
          <w:b/>
          <w:bCs/>
          <w:color w:val="C00000"/>
        </w:rPr>
        <w:t>, 202</w:t>
      </w:r>
      <w:r w:rsidR="002157ED">
        <w:rPr>
          <w:b/>
          <w:bCs/>
          <w:color w:val="C00000"/>
        </w:rPr>
        <w:t>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3C044DD4" w14:textId="77777777" w:rsidR="00D7660D" w:rsidRDefault="00D7660D" w:rsidP="00D7660D">
      <w:r>
        <w:t xml:space="preserve">To reduce incidence of morbidity and mortality of influenza disease </w:t>
      </w:r>
      <w:r w:rsidRPr="00185403">
        <w:t>in childr</w:t>
      </w:r>
      <w:r>
        <w:t>en age 6 months through 8 years.</w:t>
      </w:r>
    </w:p>
    <w:p w14:paraId="794F1097" w14:textId="34BD2E29" w:rsidR="0074308B" w:rsidRDefault="0074308B" w:rsidP="00D7660D">
      <w:bookmarkStart w:id="0" w:name="_Hlk216418560"/>
      <w:r w:rsidRPr="0074308B">
        <w:t>The indications for vaccination are based on recommendations from the American Academy of Pediatrics (AAP) and the American Academy of Family Physicians (AAFP).</w:t>
      </w:r>
      <w:bookmarkEnd w:id="0"/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06E8CB39" w:rsidR="000B3E7D" w:rsidRDefault="000B3E7D" w:rsidP="006D4D5C">
      <w:r>
        <w:t xml:space="preserve">The </w:t>
      </w:r>
      <w:r w:rsidR="00805D39">
        <w:t>nurse will implement this protocol for influenza vaccination.</w:t>
      </w:r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67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D7660D" w:rsidRPr="008E470A" w14:paraId="20DE80C1" w14:textId="77777777" w:rsidTr="006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5D449122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t>Child is currently healthy and age 6 months to 9 years</w:t>
            </w:r>
            <w:r w:rsidR="00E15152">
              <w:rPr>
                <w:rFonts w:cs="Calibri"/>
              </w:rPr>
              <w:t>.</w:t>
            </w:r>
          </w:p>
        </w:tc>
        <w:tc>
          <w:tcPr>
            <w:tcW w:w="5129" w:type="dxa"/>
          </w:tcPr>
          <w:p w14:paraId="3FAE6827" w14:textId="3B9254A4" w:rsidR="00D7660D" w:rsidRPr="008E470A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Proceed to vaccinate if meets remaining criteria.</w:t>
            </w:r>
          </w:p>
        </w:tc>
      </w:tr>
      <w:tr w:rsidR="00D7660D" w:rsidRPr="008E470A" w14:paraId="1A515FE4" w14:textId="77777777" w:rsidTr="00672C2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7DB79F77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t>Child is less than 6 months of age.</w:t>
            </w:r>
          </w:p>
        </w:tc>
        <w:tc>
          <w:tcPr>
            <w:tcW w:w="5129" w:type="dxa"/>
          </w:tcPr>
          <w:p w14:paraId="6EB4751F" w14:textId="77777777" w:rsidR="00D7660D" w:rsidRPr="003512F6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Do not vaccinate.</w:t>
            </w:r>
          </w:p>
          <w:p w14:paraId="1BFE1A8E" w14:textId="77777777" w:rsidR="00D7660D" w:rsidRPr="003512F6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[Instruct parent to return when child turns age 6 months] </w:t>
            </w:r>
          </w:p>
          <w:p w14:paraId="3AD50C9B" w14:textId="7E4D6976" w:rsidR="00D7660D" w:rsidRPr="008E470A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[Encourage parents to get vaccinated.]</w:t>
            </w:r>
          </w:p>
        </w:tc>
      </w:tr>
      <w:tr w:rsidR="00D7660D" w:rsidRPr="008E470A" w14:paraId="65042057" w14:textId="77777777" w:rsidTr="006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2BE023D6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t>Child is 9 years or older and healthy.</w:t>
            </w:r>
          </w:p>
        </w:tc>
        <w:tc>
          <w:tcPr>
            <w:tcW w:w="5129" w:type="dxa"/>
          </w:tcPr>
          <w:p w14:paraId="103BE670" w14:textId="2CD31AB4" w:rsidR="00D7660D" w:rsidRPr="008E470A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 xml:space="preserve">Follow the influenza protocol for persons 9 years and older. </w:t>
            </w:r>
          </w:p>
        </w:tc>
      </w:tr>
      <w:tr w:rsidR="00D7660D" w:rsidRPr="008E470A" w14:paraId="781CE112" w14:textId="77777777" w:rsidTr="00672C2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07D4472" w14:textId="4FF9A656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Child is currently healthy but has a chronic medical condition. </w:t>
            </w:r>
          </w:p>
        </w:tc>
        <w:tc>
          <w:tcPr>
            <w:tcW w:w="5129" w:type="dxa"/>
          </w:tcPr>
          <w:p w14:paraId="60B76EA7" w14:textId="38768868" w:rsidR="00D7660D" w:rsidRPr="004E259E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Proceed to vaccinate if meets remaining criteria.</w:t>
            </w:r>
          </w:p>
        </w:tc>
      </w:tr>
      <w:tr w:rsidR="00D7660D" w:rsidRPr="008E470A" w14:paraId="24D20F76" w14:textId="77777777" w:rsidTr="006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49BE007" w14:textId="7C93FE9F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>Child is currently healthy and age 6 months to 9 years</w:t>
            </w:r>
          </w:p>
        </w:tc>
        <w:tc>
          <w:tcPr>
            <w:tcW w:w="5129" w:type="dxa"/>
          </w:tcPr>
          <w:p w14:paraId="7AEE58D0" w14:textId="00A60CA0" w:rsidR="00D7660D" w:rsidRPr="00805D39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Proceed to vaccinate if meets remaining criteria.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67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D7660D" w:rsidRPr="008E470A" w14:paraId="7005D129" w14:textId="77777777" w:rsidTr="006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1C60602E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t xml:space="preserve">Child had a </w:t>
            </w:r>
            <w:r>
              <w:rPr>
                <w:rFonts w:cs="Calibri"/>
              </w:rPr>
              <w:t>severe</w:t>
            </w:r>
            <w:r w:rsidRPr="003512F6">
              <w:rPr>
                <w:rFonts w:cs="Calibri"/>
              </w:rPr>
              <w:t xml:space="preserve"> allergic reaction (anaphylaxis) to a previous dose of influenza vaccine.</w:t>
            </w:r>
          </w:p>
        </w:tc>
        <w:tc>
          <w:tcPr>
            <w:tcW w:w="5129" w:type="dxa"/>
          </w:tcPr>
          <w:p w14:paraId="68751DD1" w14:textId="6919B1ED" w:rsidR="00D7660D" w:rsidRPr="008E470A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Do not vaccinate; _____________________</w:t>
            </w:r>
          </w:p>
        </w:tc>
      </w:tr>
      <w:tr w:rsidR="00D7660D" w:rsidRPr="008E470A" w14:paraId="0B0C8027" w14:textId="77777777" w:rsidTr="00672C2C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377D52EF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lastRenderedPageBreak/>
              <w:t xml:space="preserve">Child has a </w:t>
            </w:r>
            <w:r>
              <w:rPr>
                <w:rFonts w:cs="Calibri"/>
              </w:rPr>
              <w:t>severe</w:t>
            </w:r>
            <w:r w:rsidRPr="003512F6">
              <w:rPr>
                <w:rFonts w:cs="Calibri"/>
              </w:rPr>
              <w:t xml:space="preserve"> allergic reaction (anaphylaxis) to a non-egg</w:t>
            </w:r>
            <w:r w:rsidRPr="00F7609E">
              <w:rPr>
                <w:rFonts w:cs="Calibri"/>
                <w:color w:val="008099" w:themeColor="accent3"/>
              </w:rPr>
              <w:t xml:space="preserve"> </w:t>
            </w:r>
            <w:r w:rsidRPr="003512F6">
              <w:rPr>
                <w:rFonts w:cs="Calibri"/>
              </w:rPr>
              <w:t>component of currently available IIV product.</w:t>
            </w:r>
          </w:p>
        </w:tc>
        <w:tc>
          <w:tcPr>
            <w:tcW w:w="5129" w:type="dxa"/>
          </w:tcPr>
          <w:p w14:paraId="7AA907CC" w14:textId="77777777" w:rsidR="00D7660D" w:rsidRPr="003512F6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Do not vaccinate; _____________________</w:t>
            </w:r>
          </w:p>
          <w:p w14:paraId="753EF366" w14:textId="5066F3B2" w:rsidR="00D7660D" w:rsidRPr="008E470A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[If allergy is related to a component that is not in another vaccine product on hand use that vaccine product</w:t>
            </w:r>
            <w:r w:rsidR="00E15152">
              <w:rPr>
                <w:rFonts w:cs="Calibri"/>
              </w:rPr>
              <w:t>. O</w:t>
            </w:r>
            <w:r w:rsidRPr="003512F6">
              <w:rPr>
                <w:rFonts w:cs="Calibri"/>
              </w:rPr>
              <w:t>therwise refer to another vaccinator.]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67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D7660D" w:rsidRPr="008E470A" w14:paraId="5896B4F6" w14:textId="77777777" w:rsidTr="006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22202A52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t>Child has a mild illness defined as temperature less than ____°F/°C with symptoms such as: [to be determined by medical prescriber]</w:t>
            </w:r>
          </w:p>
        </w:tc>
        <w:tc>
          <w:tcPr>
            <w:tcW w:w="5129" w:type="dxa"/>
          </w:tcPr>
          <w:p w14:paraId="27B7FDF7" w14:textId="0E096B2F" w:rsidR="00D7660D" w:rsidRPr="008E470A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Proceed to vaccinate.</w:t>
            </w:r>
          </w:p>
        </w:tc>
      </w:tr>
      <w:tr w:rsidR="00D7660D" w:rsidRPr="008E470A" w14:paraId="0DDCB27F" w14:textId="77777777" w:rsidTr="00672C2C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0EFA7D6D" w:rsidR="00D7660D" w:rsidRPr="008E470A" w:rsidRDefault="00D7660D" w:rsidP="00D7660D">
            <w:pPr>
              <w:pStyle w:val="TableText-calibri10"/>
            </w:pPr>
            <w:r w:rsidRPr="003512F6">
              <w:rPr>
                <w:rFonts w:cs="Calibri"/>
              </w:rPr>
              <w:t>Child has an acute moderate to severe illness defined as temperature ____°F/°C or higher with symptoms such as: [to be determined by medical prescriber]</w:t>
            </w:r>
          </w:p>
        </w:tc>
        <w:tc>
          <w:tcPr>
            <w:tcW w:w="5129" w:type="dxa"/>
          </w:tcPr>
          <w:p w14:paraId="6FBAFC44" w14:textId="42BA12DB" w:rsidR="00D7660D" w:rsidRPr="008E470A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 xml:space="preserve">Defer vaccination and </w:t>
            </w:r>
            <w:r>
              <w:rPr>
                <w:rFonts w:cs="Calibri"/>
              </w:rPr>
              <w:t>____________________________</w:t>
            </w:r>
            <w:r w:rsidRPr="003512F6">
              <w:rPr>
                <w:rFonts w:cs="Calibri"/>
              </w:rPr>
              <w:t xml:space="preserve"> </w:t>
            </w:r>
            <w:r w:rsidRPr="003512F6">
              <w:rPr>
                <w:rFonts w:cs="Calibri"/>
              </w:rPr>
              <w:br/>
              <w:t>[to be determined by medical prescriber]</w:t>
            </w:r>
          </w:p>
        </w:tc>
      </w:tr>
      <w:tr w:rsidR="00D7660D" w:rsidRPr="008E470A" w14:paraId="2553747C" w14:textId="77777777" w:rsidTr="006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2738B5E" w14:textId="78D2A75D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>
              <w:rPr>
                <w:rFonts w:cs="Calibri"/>
              </w:rPr>
              <w:t>Child</w:t>
            </w:r>
            <w:r w:rsidRPr="004E259E">
              <w:rPr>
                <w:rFonts w:cs="Calibri"/>
              </w:rPr>
              <w:t xml:space="preserve"> has </w:t>
            </w:r>
            <w:r>
              <w:rPr>
                <w:rFonts w:cs="Calibri"/>
              </w:rPr>
              <w:t>a severe</w:t>
            </w:r>
            <w:r w:rsidRPr="004E259E">
              <w:rPr>
                <w:rFonts w:cs="Calibri"/>
              </w:rPr>
              <w:t xml:space="preserve"> allergic reaction </w:t>
            </w:r>
            <w:r w:rsidR="00FF603C">
              <w:rPr>
                <w:rFonts w:cs="Calibri"/>
              </w:rPr>
              <w:t xml:space="preserve">(anaphylaxis) </w:t>
            </w:r>
            <w:r w:rsidRPr="004E259E">
              <w:rPr>
                <w:rFonts w:cs="Calibri"/>
              </w:rPr>
              <w:t xml:space="preserve">to eggs. </w:t>
            </w:r>
          </w:p>
        </w:tc>
        <w:tc>
          <w:tcPr>
            <w:tcW w:w="5129" w:type="dxa"/>
          </w:tcPr>
          <w:p w14:paraId="3810C6A1" w14:textId="77777777" w:rsidR="00D7660D" w:rsidRPr="003512F6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[Proceed to vaccinate.]</w:t>
            </w:r>
          </w:p>
          <w:p w14:paraId="65B67FD8" w14:textId="19D81F6B" w:rsidR="00D7660D" w:rsidRPr="003512F6" w:rsidRDefault="00D7660D" w:rsidP="00D7660D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</w:t>
            </w:r>
            <w:r>
              <w:rPr>
                <w:rFonts w:cs="Calibri"/>
              </w:rPr>
              <w:t>Offer c</w:t>
            </w:r>
            <w:r w:rsidRPr="004E259E">
              <w:rPr>
                <w:rFonts w:cs="Calibri"/>
              </w:rPr>
              <w:t>cIIV</w:t>
            </w:r>
            <w:r w:rsidR="00E15152">
              <w:rPr>
                <w:rFonts w:cs="Calibri"/>
              </w:rPr>
              <w:t>3</w:t>
            </w:r>
            <w:r w:rsidRPr="004E259E">
              <w:rPr>
                <w:rFonts w:cs="Calibri"/>
              </w:rPr>
              <w:t xml:space="preserve"> or RIV</w:t>
            </w:r>
            <w:r w:rsidR="00E15152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if available or refer Primary Care Provider</w:t>
            </w:r>
            <w:r w:rsidRPr="004E259E">
              <w:rPr>
                <w:rFonts w:cs="Calibri"/>
              </w:rPr>
              <w:t>.]</w:t>
            </w:r>
          </w:p>
        </w:tc>
      </w:tr>
      <w:tr w:rsidR="00D7660D" w:rsidRPr="008E470A" w14:paraId="644D6BF0" w14:textId="77777777" w:rsidTr="00672C2C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77F51C8" w14:textId="2E652A95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>Child has a history of Guillain-Barré syndrome within 6 weeks of a previous influenza vaccination.</w:t>
            </w:r>
          </w:p>
        </w:tc>
        <w:tc>
          <w:tcPr>
            <w:tcW w:w="5129" w:type="dxa"/>
          </w:tcPr>
          <w:p w14:paraId="1E406682" w14:textId="77777777" w:rsidR="00D7660D" w:rsidRPr="003512F6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[Refer to primary care provider for determination of risk and benefit of influenza vaccination]</w:t>
            </w:r>
          </w:p>
          <w:p w14:paraId="7A7136BA" w14:textId="27A947CB" w:rsidR="00D7660D" w:rsidRPr="004E259E" w:rsidRDefault="00D7660D" w:rsidP="00D7660D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[Proceed to vaccinate after discussing risk and benefit of influenza vaccination and GBS.]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22EFD1DA" w14:textId="2C640F30" w:rsidR="00627BF7" w:rsidRDefault="00805D39" w:rsidP="006D4D5C">
      <w:pPr>
        <w:rPr>
          <w:color w:val="C00000"/>
        </w:rPr>
      </w:pPr>
      <w:r w:rsidRPr="004719BF">
        <w:t>Give any of the following products depending upon which is available and if age appropriate.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3687"/>
        <w:gridCol w:w="1710"/>
        <w:gridCol w:w="1080"/>
        <w:gridCol w:w="3780"/>
      </w:tblGrid>
      <w:tr w:rsidR="00D7660D" w:rsidRPr="003512F6" w14:paraId="6CA6E28E" w14:textId="77777777" w:rsidTr="00716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</w:tcPr>
          <w:p w14:paraId="3CD92B5B" w14:textId="77777777" w:rsidR="00805D39" w:rsidRPr="003512F6" w:rsidRDefault="00805D39" w:rsidP="004B2735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>Product*</w:t>
            </w:r>
          </w:p>
        </w:tc>
        <w:tc>
          <w:tcPr>
            <w:tcW w:w="1710" w:type="dxa"/>
          </w:tcPr>
          <w:p w14:paraId="72611467" w14:textId="77777777" w:rsidR="00805D39" w:rsidRPr="003512F6" w:rsidRDefault="00805D39" w:rsidP="004B273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Dose</w:t>
            </w:r>
          </w:p>
        </w:tc>
        <w:tc>
          <w:tcPr>
            <w:tcW w:w="1080" w:type="dxa"/>
          </w:tcPr>
          <w:p w14:paraId="1158A52A" w14:textId="77777777" w:rsidR="00805D39" w:rsidRPr="003512F6" w:rsidRDefault="00805D39" w:rsidP="004B273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Route</w:t>
            </w:r>
          </w:p>
        </w:tc>
        <w:tc>
          <w:tcPr>
            <w:tcW w:w="3780" w:type="dxa"/>
          </w:tcPr>
          <w:p w14:paraId="10C4E58C" w14:textId="77777777" w:rsidR="00805D39" w:rsidRPr="003512F6" w:rsidRDefault="00805D39" w:rsidP="004B2735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Age Indication</w:t>
            </w:r>
          </w:p>
        </w:tc>
      </w:tr>
      <w:tr w:rsidR="00D7660D" w:rsidRPr="003512F6" w14:paraId="4EC96CE0" w14:textId="77777777" w:rsidTr="0071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594E525A" w14:textId="6F7D97E8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Afluria, </w:t>
            </w:r>
            <w:r w:rsidR="00E15152">
              <w:rPr>
                <w:rFonts w:cs="Calibri"/>
              </w:rPr>
              <w:t>trivalent</w:t>
            </w:r>
            <w:r w:rsidRPr="003512F6">
              <w:rPr>
                <w:rFonts w:cs="Calibri"/>
              </w:rPr>
              <w:t xml:space="preserve"> (IIV</w:t>
            </w:r>
            <w:r w:rsidR="00E15152">
              <w:rPr>
                <w:rFonts w:cs="Calibri"/>
              </w:rPr>
              <w:t>3</w:t>
            </w:r>
            <w:r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2CBA2EC6" w14:textId="7E081F68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0.25 mL</w:t>
            </w:r>
          </w:p>
        </w:tc>
        <w:tc>
          <w:tcPr>
            <w:tcW w:w="1080" w:type="dxa"/>
            <w:vAlign w:val="top"/>
          </w:tcPr>
          <w:p w14:paraId="7DA120DE" w14:textId="448EE8F8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2976D4AB" w14:textId="5732B705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6 months through 35 months</w:t>
            </w:r>
          </w:p>
        </w:tc>
      </w:tr>
      <w:tr w:rsidR="00D7660D" w:rsidRPr="003512F6" w14:paraId="5E86A314" w14:textId="77777777" w:rsidTr="00716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2062B587" w14:textId="1C2D5A37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Afluria, </w:t>
            </w:r>
            <w:r w:rsidR="00E15152">
              <w:rPr>
                <w:rFonts w:cs="Calibri"/>
              </w:rPr>
              <w:t>trivalent</w:t>
            </w:r>
            <w:r w:rsidR="00E15152" w:rsidRPr="003512F6">
              <w:rPr>
                <w:rFonts w:cs="Calibri"/>
              </w:rPr>
              <w:t xml:space="preserve"> (IIV</w:t>
            </w:r>
            <w:r w:rsidR="00E15152">
              <w:rPr>
                <w:rFonts w:cs="Calibri"/>
              </w:rPr>
              <w:t>3</w:t>
            </w:r>
            <w:r w:rsidR="00E15152"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05DAC1F4" w14:textId="5FCEF0B0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0.5 mL</w:t>
            </w:r>
          </w:p>
        </w:tc>
        <w:tc>
          <w:tcPr>
            <w:tcW w:w="1080" w:type="dxa"/>
            <w:vAlign w:val="top"/>
          </w:tcPr>
          <w:p w14:paraId="344F732D" w14:textId="5C56DFC8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67024E67" w14:textId="5AC602E2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3512F6">
              <w:rPr>
                <w:rFonts w:cs="Calibri"/>
              </w:rPr>
              <w:t>6 months and older</w:t>
            </w:r>
          </w:p>
        </w:tc>
      </w:tr>
      <w:tr w:rsidR="00D7660D" w:rsidRPr="003512F6" w14:paraId="2A2D3156" w14:textId="77777777" w:rsidTr="0071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6E2B120D" w14:textId="50E93604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Fluarix, </w:t>
            </w:r>
            <w:r w:rsidR="00E15152">
              <w:rPr>
                <w:rFonts w:cs="Calibri"/>
              </w:rPr>
              <w:t>trivalent</w:t>
            </w:r>
            <w:r w:rsidR="00E15152" w:rsidRPr="003512F6">
              <w:rPr>
                <w:rFonts w:cs="Calibri"/>
              </w:rPr>
              <w:t xml:space="preserve"> (IIV</w:t>
            </w:r>
            <w:r w:rsidR="00E15152">
              <w:rPr>
                <w:rFonts w:cs="Calibri"/>
              </w:rPr>
              <w:t>3</w:t>
            </w:r>
            <w:r w:rsidR="00E15152"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05606A1F" w14:textId="0E7D1925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0.5 mL</w:t>
            </w:r>
          </w:p>
        </w:tc>
        <w:tc>
          <w:tcPr>
            <w:tcW w:w="1080" w:type="dxa"/>
            <w:vAlign w:val="top"/>
          </w:tcPr>
          <w:p w14:paraId="5ED3E23B" w14:textId="095328CE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019AC967" w14:textId="0048C24A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6 months and older</w:t>
            </w:r>
          </w:p>
        </w:tc>
      </w:tr>
      <w:tr w:rsidR="00D7660D" w:rsidRPr="003512F6" w14:paraId="31B1A569" w14:textId="77777777" w:rsidTr="00716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22CA7D92" w14:textId="6E7E9F77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FluLaval, </w:t>
            </w:r>
            <w:r w:rsidR="00E15152">
              <w:rPr>
                <w:rFonts w:cs="Calibri"/>
              </w:rPr>
              <w:t>trivalent</w:t>
            </w:r>
            <w:r w:rsidR="00E15152" w:rsidRPr="003512F6">
              <w:rPr>
                <w:rFonts w:cs="Calibri"/>
              </w:rPr>
              <w:t xml:space="preserve"> (IIV</w:t>
            </w:r>
            <w:r w:rsidR="00E15152">
              <w:rPr>
                <w:rFonts w:cs="Calibri"/>
              </w:rPr>
              <w:t>3</w:t>
            </w:r>
            <w:r w:rsidR="00E15152"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4D401A66" w14:textId="25806262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0.5 mL</w:t>
            </w:r>
          </w:p>
        </w:tc>
        <w:tc>
          <w:tcPr>
            <w:tcW w:w="1080" w:type="dxa"/>
            <w:vAlign w:val="top"/>
          </w:tcPr>
          <w:p w14:paraId="2F41A0C5" w14:textId="6122E8AA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03C18255" w14:textId="4A6B2A3F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6 months and older</w:t>
            </w:r>
          </w:p>
        </w:tc>
      </w:tr>
      <w:tr w:rsidR="00D7660D" w:rsidRPr="003512F6" w14:paraId="1273FF3F" w14:textId="77777777" w:rsidTr="0071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07237F45" w14:textId="630816BF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Fluzone, </w:t>
            </w:r>
            <w:r w:rsidR="00E15152">
              <w:rPr>
                <w:rFonts w:cs="Calibri"/>
              </w:rPr>
              <w:t>trivalent</w:t>
            </w:r>
            <w:r w:rsidR="00E15152" w:rsidRPr="003512F6">
              <w:rPr>
                <w:rFonts w:cs="Calibri"/>
              </w:rPr>
              <w:t xml:space="preserve"> (IIV</w:t>
            </w:r>
            <w:r w:rsidR="00E15152">
              <w:rPr>
                <w:rFonts w:cs="Calibri"/>
              </w:rPr>
              <w:t>3</w:t>
            </w:r>
            <w:r w:rsidR="00E15152"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77D63089" w14:textId="758477BF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0.25 mL</w:t>
            </w:r>
            <w:r>
              <w:rPr>
                <w:rFonts w:cs="Calibri"/>
              </w:rPr>
              <w:t xml:space="preserve"> or 0.5 mL</w:t>
            </w:r>
          </w:p>
        </w:tc>
        <w:tc>
          <w:tcPr>
            <w:tcW w:w="1080" w:type="dxa"/>
            <w:vAlign w:val="top"/>
          </w:tcPr>
          <w:p w14:paraId="6F10F9FE" w14:textId="7EFB1892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795379C9" w14:textId="1DF4C912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6 months through 35 months</w:t>
            </w:r>
          </w:p>
        </w:tc>
      </w:tr>
      <w:tr w:rsidR="00D7660D" w:rsidRPr="003512F6" w14:paraId="40323357" w14:textId="77777777" w:rsidTr="007167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0713C4AB" w14:textId="4842F4BF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Fluzone, </w:t>
            </w:r>
            <w:r w:rsidR="00E15152">
              <w:rPr>
                <w:rFonts w:cs="Calibri"/>
              </w:rPr>
              <w:t>trivalent</w:t>
            </w:r>
            <w:r w:rsidR="00E15152" w:rsidRPr="003512F6">
              <w:rPr>
                <w:rFonts w:cs="Calibri"/>
              </w:rPr>
              <w:t xml:space="preserve"> (IIV</w:t>
            </w:r>
            <w:r w:rsidR="00E15152">
              <w:rPr>
                <w:rFonts w:cs="Calibri"/>
              </w:rPr>
              <w:t>3</w:t>
            </w:r>
            <w:r w:rsidR="00E15152"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1C6C911D" w14:textId="0DCB1880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0.5 mL</w:t>
            </w:r>
          </w:p>
        </w:tc>
        <w:tc>
          <w:tcPr>
            <w:tcW w:w="1080" w:type="dxa"/>
            <w:vAlign w:val="top"/>
          </w:tcPr>
          <w:p w14:paraId="0C07D9D5" w14:textId="5D74E7D6" w:rsidR="00D7660D" w:rsidRPr="004E259E" w:rsidRDefault="00D7660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243C811E" w14:textId="74738127" w:rsidR="00D7660D" w:rsidRPr="004E259E" w:rsidRDefault="002157ED" w:rsidP="00D7660D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D7660D" w:rsidRPr="003512F6">
              <w:rPr>
                <w:rFonts w:cs="Calibri"/>
              </w:rPr>
              <w:t>6 months and older</w:t>
            </w:r>
          </w:p>
        </w:tc>
      </w:tr>
      <w:tr w:rsidR="00D7660D" w:rsidRPr="003512F6" w14:paraId="21FC23F9" w14:textId="77777777" w:rsidTr="00716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vAlign w:val="top"/>
          </w:tcPr>
          <w:p w14:paraId="60E86978" w14:textId="2C81BBDD" w:rsidR="00D7660D" w:rsidRPr="004E259E" w:rsidRDefault="00D7660D" w:rsidP="00D7660D">
            <w:pPr>
              <w:pStyle w:val="TableText-calibri10"/>
              <w:rPr>
                <w:rFonts w:cs="Calibri"/>
              </w:rPr>
            </w:pPr>
            <w:r w:rsidRPr="003512F6">
              <w:rPr>
                <w:rFonts w:cs="Calibri"/>
              </w:rPr>
              <w:t xml:space="preserve">Flucelvax, cell culture, </w:t>
            </w:r>
            <w:r w:rsidR="00E15152">
              <w:rPr>
                <w:rFonts w:cs="Calibri"/>
              </w:rPr>
              <w:t>trivalent</w:t>
            </w:r>
            <w:r w:rsidR="00E15152" w:rsidRPr="003512F6">
              <w:rPr>
                <w:rFonts w:cs="Calibri"/>
              </w:rPr>
              <w:t xml:space="preserve"> (</w:t>
            </w:r>
            <w:r w:rsidR="003947EC">
              <w:rPr>
                <w:rFonts w:cs="Calibri"/>
              </w:rPr>
              <w:t>cc</w:t>
            </w:r>
            <w:r w:rsidR="00E15152" w:rsidRPr="003512F6">
              <w:rPr>
                <w:rFonts w:cs="Calibri"/>
              </w:rPr>
              <w:t>IIV</w:t>
            </w:r>
            <w:r w:rsidR="00E15152">
              <w:rPr>
                <w:rFonts w:cs="Calibri"/>
              </w:rPr>
              <w:t>3</w:t>
            </w:r>
            <w:r w:rsidR="00E15152" w:rsidRPr="003512F6">
              <w:rPr>
                <w:rFonts w:cs="Calibri"/>
              </w:rPr>
              <w:t>)</w:t>
            </w:r>
          </w:p>
        </w:tc>
        <w:tc>
          <w:tcPr>
            <w:tcW w:w="1710" w:type="dxa"/>
            <w:vAlign w:val="top"/>
          </w:tcPr>
          <w:p w14:paraId="4F230AC4" w14:textId="5D63AACE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0.5 mL</w:t>
            </w:r>
          </w:p>
        </w:tc>
        <w:tc>
          <w:tcPr>
            <w:tcW w:w="1080" w:type="dxa"/>
            <w:vAlign w:val="top"/>
          </w:tcPr>
          <w:p w14:paraId="0E60E9CE" w14:textId="3817AE1F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IM</w:t>
            </w:r>
          </w:p>
        </w:tc>
        <w:tc>
          <w:tcPr>
            <w:tcW w:w="3780" w:type="dxa"/>
            <w:vAlign w:val="top"/>
          </w:tcPr>
          <w:p w14:paraId="36F64D31" w14:textId="5DF51EEA" w:rsidR="00D7660D" w:rsidRPr="004E259E" w:rsidRDefault="00D7660D" w:rsidP="00D7660D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6 months and older</w:t>
            </w:r>
          </w:p>
        </w:tc>
      </w:tr>
    </w:tbl>
    <w:p w14:paraId="5E14DBE7" w14:textId="550B6A28" w:rsidR="00D7660D" w:rsidRDefault="00D7660D" w:rsidP="00D7660D">
      <w:pPr>
        <w:pStyle w:val="NormalSmall"/>
      </w:pPr>
      <w:r w:rsidRPr="00B26E21">
        <w:t>* In order to assist in delineating specific product indications, product names are used</w:t>
      </w:r>
      <w:r w:rsidR="002157ED">
        <w:t xml:space="preserve"> </w:t>
      </w:r>
      <w:r w:rsidRPr="00B26E21">
        <w:t>but are not a product endorsement.</w:t>
      </w:r>
    </w:p>
    <w:p w14:paraId="50D777C2" w14:textId="7444AA27" w:rsidR="00D7660D" w:rsidRDefault="00D7660D" w:rsidP="00D7660D">
      <w:r w:rsidRPr="00D7660D">
        <w:t>Follow the algorithm on the next page in order to determine which child age 6 months through 8 years needs a second dose of influenza vaccine.</w:t>
      </w:r>
    </w:p>
    <w:p w14:paraId="21D32D24" w14:textId="6478CCCE" w:rsidR="00D7660D" w:rsidRPr="00D7660D" w:rsidRDefault="00D7660D" w:rsidP="00D7660D">
      <w:pPr>
        <w:pStyle w:val="ListBullet"/>
      </w:pPr>
      <w:r w:rsidRPr="00D7660D">
        <w:t xml:space="preserve">When indicated, give the </w:t>
      </w:r>
      <w:r>
        <w:t>second</w:t>
      </w:r>
      <w:r w:rsidRPr="00D7660D">
        <w:t xml:space="preserve"> dose at least 4 weeks after the first dose.</w:t>
      </w:r>
    </w:p>
    <w:p w14:paraId="47F71219" w14:textId="462C054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lastRenderedPageBreak/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3D991E6B" w:rsidR="00AA3A38" w:rsidRDefault="00B26E21" w:rsidP="007D53F2">
      <w:pPr>
        <w:pStyle w:val="NormalLtBlueBackground"/>
      </w:pPr>
      <w:r w:rsidRPr="008C3BED">
        <w:t>Date:</w:t>
      </w:r>
    </w:p>
    <w:p w14:paraId="670C3179" w14:textId="3BD6A02F" w:rsidR="00D7660D" w:rsidRDefault="00E15152" w:rsidP="00D7660D">
      <w:pPr>
        <w:pStyle w:val="TableorChartTitle"/>
        <w:jc w:val="left"/>
      </w:pPr>
      <w:r>
        <w:t>Two-dose recommendation for children age 6 months through 8 years*</w:t>
      </w:r>
    </w:p>
    <w:p w14:paraId="10DE3D70" w14:textId="5BBDD8D6" w:rsidR="00D7660D" w:rsidRDefault="00D7660D" w:rsidP="00D7660D">
      <w:r>
        <w:rPr>
          <w:noProof/>
        </w:rPr>
        <w:drawing>
          <wp:inline distT="0" distB="0" distL="0" distR="0" wp14:anchorId="08A3CA4F" wp14:editId="6367CDF3">
            <wp:extent cx="2959689" cy="34290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689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933526" w14:textId="33CBFFD2" w:rsidR="00D7660D" w:rsidRDefault="00D7660D" w:rsidP="0071673D">
      <w:pPr>
        <w:pStyle w:val="NormalSmall"/>
      </w:pPr>
      <w:r>
        <w:t xml:space="preserve">*For children age 8 years who require 2 doses of vaccine, both doses should be administered even if the child turns age 9 years between receipt of dose 1 and dose 2. </w:t>
      </w:r>
    </w:p>
    <w:p w14:paraId="3630B947" w14:textId="1D3461A3" w:rsidR="00D7660D" w:rsidRPr="00D7660D" w:rsidRDefault="00D7660D" w:rsidP="0071673D">
      <w:pPr>
        <w:pStyle w:val="NormalSmall"/>
      </w:pPr>
      <w:r w:rsidDel="0054786B">
        <w:t>**</w:t>
      </w:r>
      <w:r>
        <w:t>The two doses do not need to have been received during the same or consecutive seasons.</w:t>
      </w:r>
    </w:p>
    <w:sectPr w:rsidR="00D7660D" w:rsidRPr="00D7660D" w:rsidSect="00C85B0C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CF8E" w14:textId="77777777" w:rsidR="00C52DFB" w:rsidRDefault="00C52DFB" w:rsidP="00D36495">
      <w:r>
        <w:separator/>
      </w:r>
    </w:p>
  </w:endnote>
  <w:endnote w:type="continuationSeparator" w:id="0">
    <w:p w14:paraId="2EA89466" w14:textId="77777777" w:rsidR="00C52DFB" w:rsidRDefault="00C52DFB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7D67" w14:textId="77777777" w:rsidR="00C52DFB" w:rsidRDefault="00C52DFB" w:rsidP="00D36495">
      <w:r>
        <w:separator/>
      </w:r>
    </w:p>
  </w:footnote>
  <w:footnote w:type="continuationSeparator" w:id="0">
    <w:p w14:paraId="0A48D9F6" w14:textId="77777777" w:rsidR="00C52DFB" w:rsidRDefault="00C52DFB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125F563E" w:rsidR="00782710" w:rsidRPr="00D7660D" w:rsidRDefault="00D7660D" w:rsidP="00D7660D">
    <w:pPr>
      <w:pStyle w:val="Header"/>
    </w:pPr>
    <w:r>
      <w:t>inactivated Influenza Vaccine (i</w:t>
    </w:r>
    <w:r w:rsidRPr="005F3404">
      <w:t>IV)</w:t>
    </w:r>
    <w:r>
      <w:t xml:space="preserve"> protocol for under 9 years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07CF6"/>
    <w:multiLevelType w:val="hybridMultilevel"/>
    <w:tmpl w:val="977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45356831">
    <w:abstractNumId w:val="11"/>
  </w:num>
  <w:num w:numId="2" w16cid:durableId="1278757609">
    <w:abstractNumId w:val="1"/>
  </w:num>
  <w:num w:numId="3" w16cid:durableId="577205787">
    <w:abstractNumId w:val="0"/>
  </w:num>
  <w:num w:numId="4" w16cid:durableId="1984236028">
    <w:abstractNumId w:val="9"/>
  </w:num>
  <w:num w:numId="5" w16cid:durableId="2028869105">
    <w:abstractNumId w:val="14"/>
  </w:num>
  <w:num w:numId="6" w16cid:durableId="1524056739">
    <w:abstractNumId w:val="3"/>
  </w:num>
  <w:num w:numId="7" w16cid:durableId="2144543762">
    <w:abstractNumId w:val="2"/>
  </w:num>
  <w:num w:numId="8" w16cid:durableId="139924142">
    <w:abstractNumId w:val="7"/>
  </w:num>
  <w:num w:numId="9" w16cid:durableId="1486706853">
    <w:abstractNumId w:val="5"/>
  </w:num>
  <w:num w:numId="10" w16cid:durableId="1283196949">
    <w:abstractNumId w:val="12"/>
  </w:num>
  <w:num w:numId="11" w16cid:durableId="355040659">
    <w:abstractNumId w:val="10"/>
  </w:num>
  <w:num w:numId="12" w16cid:durableId="736130156">
    <w:abstractNumId w:val="6"/>
  </w:num>
  <w:num w:numId="13" w16cid:durableId="1045985705">
    <w:abstractNumId w:val="8"/>
  </w:num>
  <w:num w:numId="14" w16cid:durableId="822742946">
    <w:abstractNumId w:val="4"/>
  </w:num>
  <w:num w:numId="15" w16cid:durableId="129532998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57E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4EE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7EC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12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2B59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C2C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73D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8B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23A8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76F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228F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D39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7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26F1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866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2DFB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B0C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028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60D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152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343C"/>
    <w:rsid w:val="00FF42F3"/>
    <w:rsid w:val="00FF45C1"/>
    <w:rsid w:val="00FF51FE"/>
    <w:rsid w:val="00FF5583"/>
    <w:rsid w:val="00FF595D"/>
    <w:rsid w:val="00FF5A77"/>
    <w:rsid w:val="00FF603C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672C2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672C2C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D39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5469566-ff15-40dd-a806-b3ff38c3d566"/>
    <ds:schemaRef ds:uri="fff41837-5838-4dec-ad5d-0fd8d2f05163"/>
  </ds:schemaRefs>
</ds:datastoreItem>
</file>

<file path=customXml/itemProps3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3</Pages>
  <Words>723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Protocol Template</vt:lpstr>
    </vt:vector>
  </TitlesOfParts>
  <Company>State of Minnesota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Protocol Template</dc:title>
  <dc:subject>Vaccine Protocol Template</dc:subject>
  <dc:creator>Minnesota Dept. of Health</dc:creator>
  <cp:keywords/>
  <dc:description/>
  <cp:lastModifiedBy>Schultz, Tracy (She/Her/Hers) (MDH)</cp:lastModifiedBy>
  <cp:revision>9</cp:revision>
  <cp:lastPrinted>2016-12-14T18:03:00Z</cp:lastPrinted>
  <dcterms:created xsi:type="dcterms:W3CDTF">2023-08-30T21:04:00Z</dcterms:created>
  <dcterms:modified xsi:type="dcterms:W3CDTF">2026-01-15T16:01:00Z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