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672" w14:textId="00AB9E6A" w:rsidR="002662F5" w:rsidRDefault="002662F5" w:rsidP="00B93F3C">
      <w:pPr>
        <w:pStyle w:val="Heading1"/>
        <w:rPr>
          <w:caps/>
        </w:rPr>
      </w:pPr>
      <w:r w:rsidRPr="002662F5">
        <w:t xml:space="preserve">Diphtheria, Tetanus and Pertussis </w:t>
      </w:r>
      <w:r w:rsidR="00CE7311">
        <w:t xml:space="preserve">(DTaP) </w:t>
      </w:r>
      <w:r w:rsidR="008B3214">
        <w:t xml:space="preserve">Routine </w:t>
      </w:r>
      <w:r w:rsidR="00827488">
        <w:t>and</w:t>
      </w:r>
      <w:r w:rsidR="003843D3">
        <w:t xml:space="preserve"> </w:t>
      </w:r>
      <w:r w:rsidR="008B3214">
        <w:t xml:space="preserve">Catch-up </w:t>
      </w:r>
      <w:r w:rsidRPr="002662F5">
        <w:t xml:space="preserve">Vaccine Protocol </w:t>
      </w:r>
    </w:p>
    <w:p w14:paraId="2E9D469B" w14:textId="3AD5EA0A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6C5870">
        <w:t>persons 6 weeks through 6 years</w:t>
      </w:r>
    </w:p>
    <w:p w14:paraId="4BAE6FFB" w14:textId="316376E3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5417A">
        <w:rPr>
          <w:b/>
          <w:bCs/>
          <w:color w:val="C00000"/>
        </w:rPr>
        <w:t>March 26,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095D9A3B" w14:textId="0B449CA8" w:rsidR="00836CB2" w:rsidRPr="00836CB2" w:rsidRDefault="00CE7311" w:rsidP="00836CB2">
      <w:r w:rsidRPr="00836CB2">
        <w:t xml:space="preserve">To reduce incidence of morbidity and mortality of diphtheria, </w:t>
      </w:r>
      <w:r w:rsidR="00812DCA" w:rsidRPr="00836CB2">
        <w:t>tetanus,</w:t>
      </w:r>
      <w:r w:rsidRPr="00836CB2">
        <w:t xml:space="preserve"> and pertussis diseases.</w:t>
      </w:r>
    </w:p>
    <w:p w14:paraId="473158AD" w14:textId="5380A598" w:rsidR="000B3E7D" w:rsidRDefault="000B3E7D" w:rsidP="000B3E7D">
      <w:pPr>
        <w:pStyle w:val="Heading2"/>
      </w:pPr>
      <w:r>
        <w:t>Policy of protocol</w:t>
      </w:r>
    </w:p>
    <w:p w14:paraId="7D4D63BB" w14:textId="4EC7754C" w:rsidR="00836CB2" w:rsidRDefault="00CE7311" w:rsidP="00836CB2">
      <w:r w:rsidRPr="00836CB2">
        <w:t>The nurse will implement this protocol for DTaP vaccination.</w:t>
      </w:r>
    </w:p>
    <w:p w14:paraId="73DC091A" w14:textId="01A0A773" w:rsidR="00EB4DA0" w:rsidRPr="00836CB2" w:rsidRDefault="00EB4DA0" w:rsidP="00836CB2">
      <w:bookmarkStart w:id="0" w:name="_Hlk216418560"/>
      <w:r w:rsidRPr="00EB4DA0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66F26D06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6968D7" w:rsidRPr="00836CB2" w14:paraId="2B9A7AB7" w14:textId="77777777" w:rsidTr="009D5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CE7311" w:rsidRDefault="0015567C" w:rsidP="00CE7311">
            <w:pPr>
              <w:pStyle w:val="TableText-calibri10"/>
            </w:pPr>
            <w:r w:rsidRPr="00CE7311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36CB2" w:rsidRDefault="0015567C" w:rsidP="00836CB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Prescribed action</w:t>
            </w:r>
          </w:p>
        </w:tc>
      </w:tr>
      <w:tr w:rsidR="006968D7" w:rsidRPr="00836CB2" w14:paraId="20DE80C1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520EC45" w:rsidR="00926635" w:rsidRPr="00836CB2" w:rsidRDefault="00CE7311" w:rsidP="00CE7311">
            <w:pPr>
              <w:pStyle w:val="TableText-calibri10"/>
            </w:pPr>
            <w:r w:rsidRPr="00836CB2">
              <w:t>Currently healthy child age 6 weeks through 6 years.</w:t>
            </w:r>
          </w:p>
        </w:tc>
        <w:tc>
          <w:tcPr>
            <w:tcW w:w="5129" w:type="dxa"/>
          </w:tcPr>
          <w:p w14:paraId="3FAE6827" w14:textId="62AE4FBA" w:rsidR="00926635" w:rsidRPr="00836CB2" w:rsidRDefault="002662F5" w:rsidP="00CE731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Proceed to vaccinate if meets remaining criteria.</w:t>
            </w:r>
          </w:p>
        </w:tc>
      </w:tr>
      <w:tr w:rsidR="006968D7" w:rsidRPr="00836CB2" w14:paraId="1A515FE4" w14:textId="77777777" w:rsidTr="009D584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37C19138" w:rsidR="00926635" w:rsidRPr="00836CB2" w:rsidRDefault="00CE7311" w:rsidP="00CE7311">
            <w:pPr>
              <w:pStyle w:val="TableText-calibri10"/>
            </w:pPr>
            <w:r w:rsidRPr="00836CB2">
              <w:t>Child is less than age 6 weeks.</w:t>
            </w:r>
          </w:p>
        </w:tc>
        <w:tc>
          <w:tcPr>
            <w:tcW w:w="5129" w:type="dxa"/>
          </w:tcPr>
          <w:p w14:paraId="3AD50C9B" w14:textId="2B4BE142" w:rsidR="00926635" w:rsidRPr="00836CB2" w:rsidRDefault="002662F5" w:rsidP="00CE731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Do not give. [Reschedule vaccination when child meets age criteria.]</w:t>
            </w:r>
          </w:p>
        </w:tc>
      </w:tr>
      <w:tr w:rsidR="006968D7" w:rsidRPr="00836CB2" w14:paraId="65042057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742A3CB9" w:rsidR="00926635" w:rsidRPr="00836CB2" w:rsidRDefault="00CE7311" w:rsidP="00CE7311">
            <w:pPr>
              <w:pStyle w:val="TableText-calibri10"/>
            </w:pPr>
            <w:r w:rsidRPr="00836CB2">
              <w:t>Child is 7 years or older.</w:t>
            </w:r>
          </w:p>
        </w:tc>
        <w:tc>
          <w:tcPr>
            <w:tcW w:w="5129" w:type="dxa"/>
          </w:tcPr>
          <w:p w14:paraId="103BE670" w14:textId="4DFB1D4D" w:rsidR="00926635" w:rsidRPr="00836CB2" w:rsidRDefault="00CE7311" w:rsidP="00CE731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Do not give. Follow protocol for Td/Tdap administration</w:t>
            </w:r>
            <w:r w:rsidR="00891091">
              <w:t>.</w:t>
            </w:r>
          </w:p>
        </w:tc>
      </w:tr>
      <w:tr w:rsidR="006968D7" w:rsidRPr="00836CB2" w14:paraId="1418D6AA" w14:textId="77777777" w:rsidTr="009D584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3EEE806" w14:textId="116468DC" w:rsidR="002662F5" w:rsidRPr="00836CB2" w:rsidRDefault="00CE7311" w:rsidP="00CE7311">
            <w:pPr>
              <w:pStyle w:val="TableText-calibri10"/>
            </w:pPr>
            <w:r w:rsidRPr="00836CB2">
              <w:t>Person is more than 1 month behind routine schedule.</w:t>
            </w:r>
          </w:p>
        </w:tc>
        <w:tc>
          <w:tcPr>
            <w:tcW w:w="5129" w:type="dxa"/>
          </w:tcPr>
          <w:p w14:paraId="4F47E494" w14:textId="122BD4CC" w:rsidR="002662F5" w:rsidRPr="00836CB2" w:rsidRDefault="00E71725" w:rsidP="00CE731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</w:rPr>
              <w:t>Proceed to vaccinate, follow catch</w:t>
            </w:r>
            <w:r w:rsidR="0089075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up intervals. </w:t>
            </w:r>
          </w:p>
        </w:tc>
      </w:tr>
      <w:tr w:rsidR="00CE7311" w:rsidRPr="00836CB2" w14:paraId="4AA81A0A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7D4E4D7" w14:textId="4444642A" w:rsidR="00CE7311" w:rsidRPr="00836CB2" w:rsidRDefault="00CE7311" w:rsidP="00CE7311">
            <w:pPr>
              <w:pStyle w:val="TableText-calibri10"/>
            </w:pPr>
            <w:r w:rsidRPr="00836CB2">
              <w:t>Child has had pertussis disease.</w:t>
            </w:r>
          </w:p>
        </w:tc>
        <w:tc>
          <w:tcPr>
            <w:tcW w:w="5129" w:type="dxa"/>
          </w:tcPr>
          <w:p w14:paraId="7D5BED36" w14:textId="0DCABF11" w:rsidR="00CE7311" w:rsidRPr="00CE7311" w:rsidRDefault="00CE7311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Continue DTaP series; DTaP is not contraindicated.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36CB2" w14:paraId="03431DC1" w14:textId="77777777" w:rsidTr="009D5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36CB2" w:rsidRDefault="0015567C" w:rsidP="00836CB2">
            <w:pPr>
              <w:pStyle w:val="TableText-calibri10"/>
            </w:pPr>
            <w:r w:rsidRPr="00836CB2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36CB2" w:rsidRDefault="0015567C" w:rsidP="00836CB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Prescribed action</w:t>
            </w:r>
          </w:p>
        </w:tc>
      </w:tr>
      <w:tr w:rsidR="00185403" w:rsidRPr="00836CB2" w14:paraId="7005D129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3610AEF1" w:rsidR="00185403" w:rsidRPr="00836CB2" w:rsidRDefault="00836CB2" w:rsidP="00836CB2">
            <w:pPr>
              <w:pStyle w:val="TableText-calibri10"/>
            </w:pPr>
            <w:r w:rsidRPr="00836CB2">
              <w:t xml:space="preserve">Person had a </w:t>
            </w:r>
            <w:r w:rsidR="00FA59D9">
              <w:t>severe</w:t>
            </w:r>
            <w:r w:rsidR="00FA59D9" w:rsidRPr="00836CB2">
              <w:t xml:space="preserve"> </w:t>
            </w:r>
            <w:r w:rsidRPr="00836CB2">
              <w:t>allergic reaction (anaphylaxis) to a previous dose of DTaP vaccine.</w:t>
            </w:r>
          </w:p>
        </w:tc>
        <w:tc>
          <w:tcPr>
            <w:tcW w:w="5129" w:type="dxa"/>
          </w:tcPr>
          <w:p w14:paraId="68751DD1" w14:textId="27BD2683" w:rsidR="00185403" w:rsidRPr="00836CB2" w:rsidRDefault="002662F5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Do not vaccinate; _____________________</w:t>
            </w:r>
          </w:p>
        </w:tc>
      </w:tr>
      <w:tr w:rsidR="00185403" w:rsidRPr="00836CB2" w14:paraId="0B0C8027" w14:textId="77777777" w:rsidTr="009D58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39141D22" w:rsidR="00185403" w:rsidRPr="00836CB2" w:rsidRDefault="00836CB2" w:rsidP="00836CB2">
            <w:pPr>
              <w:pStyle w:val="TableText-calibri10"/>
            </w:pPr>
            <w:r w:rsidRPr="00836CB2">
              <w:t xml:space="preserve">Person has a </w:t>
            </w:r>
            <w:r w:rsidR="00FA59D9">
              <w:t>severe</w:t>
            </w:r>
            <w:r w:rsidR="00FA59D9" w:rsidRPr="00836CB2">
              <w:t xml:space="preserve"> </w:t>
            </w:r>
            <w:r w:rsidRPr="00836CB2">
              <w:t>allergy to a component of any of the DTaP vaccines.</w:t>
            </w:r>
          </w:p>
        </w:tc>
        <w:tc>
          <w:tcPr>
            <w:tcW w:w="5129" w:type="dxa"/>
          </w:tcPr>
          <w:p w14:paraId="753EF366" w14:textId="27BE8AFB" w:rsidR="00185403" w:rsidRPr="00836CB2" w:rsidRDefault="002662F5" w:rsidP="00836CB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Do not vaccinate; _____________________</w:t>
            </w:r>
          </w:p>
        </w:tc>
      </w:tr>
      <w:tr w:rsidR="002662F5" w:rsidRPr="00836CB2" w14:paraId="4CB1415D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9ACD1DD" w14:textId="7E7960C9" w:rsidR="002662F5" w:rsidRPr="00836CB2" w:rsidRDefault="00836CB2" w:rsidP="00836CB2">
            <w:pPr>
              <w:pStyle w:val="TableText-calibri10"/>
            </w:pPr>
            <w:r w:rsidRPr="00836CB2">
              <w:t xml:space="preserve">Encephalopathy (e.g., coma, decreased level of consciousness; prolonged seizures without recovery within 24 </w:t>
            </w:r>
            <w:r w:rsidRPr="00836CB2">
              <w:lastRenderedPageBreak/>
              <w:t>hours) without an identified cause within 7 days after administration of prior dose of DTaP.</w:t>
            </w:r>
          </w:p>
        </w:tc>
        <w:tc>
          <w:tcPr>
            <w:tcW w:w="5129" w:type="dxa"/>
          </w:tcPr>
          <w:p w14:paraId="25FBEC9E" w14:textId="1A861621" w:rsidR="002662F5" w:rsidRPr="00836CB2" w:rsidRDefault="00836CB2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lastRenderedPageBreak/>
              <w:t>Do not vaccinate</w:t>
            </w:r>
            <w:r w:rsidR="00C5417A">
              <w:t>. [Refer to primary care provider.] [Vaccinate with Td vaccine protocol for children &lt;7 years old who have a contraindication to pertussis-containing vaccine.]</w:t>
            </w:r>
            <w:r w:rsidRPr="00836CB2">
              <w:t xml:space="preserve"> 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36CB2" w14:paraId="7BD181FC" w14:textId="77777777" w:rsidTr="009D5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36CB2" w:rsidRDefault="0015567C" w:rsidP="00836CB2">
            <w:pPr>
              <w:pStyle w:val="TableText-calibri10"/>
            </w:pPr>
            <w:r w:rsidRPr="00836CB2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36CB2" w:rsidRDefault="0015567C" w:rsidP="00836CB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Prescribed action</w:t>
            </w:r>
          </w:p>
        </w:tc>
      </w:tr>
      <w:tr w:rsidR="00926635" w:rsidRPr="00836CB2" w14:paraId="5896B4F6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83436DE" w:rsidR="00926635" w:rsidRPr="00836CB2" w:rsidRDefault="002662F5" w:rsidP="00836CB2">
            <w:pPr>
              <w:pStyle w:val="TableText-calibri10"/>
            </w:pPr>
            <w:r w:rsidRPr="00836CB2">
              <w:t>Person is currently on antibiotic therapy.</w:t>
            </w:r>
          </w:p>
        </w:tc>
        <w:tc>
          <w:tcPr>
            <w:tcW w:w="5129" w:type="dxa"/>
          </w:tcPr>
          <w:p w14:paraId="27B7FDF7" w14:textId="14D6C37C" w:rsidR="00926635" w:rsidRPr="00836CB2" w:rsidRDefault="002662F5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Proceed to vaccinate.</w:t>
            </w:r>
          </w:p>
        </w:tc>
      </w:tr>
      <w:tr w:rsidR="59BEB75F" w:rsidRPr="00836CB2" w14:paraId="0DDCB27F" w14:textId="77777777" w:rsidTr="009D584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2265C28" w:rsidR="06C91713" w:rsidRPr="00836CB2" w:rsidRDefault="002662F5" w:rsidP="00836CB2">
            <w:pPr>
              <w:pStyle w:val="TableText-calibri10"/>
            </w:pPr>
            <w:r w:rsidRPr="00836CB2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68840DA3" w:rsidR="06C91713" w:rsidRPr="00836CB2" w:rsidRDefault="002662F5" w:rsidP="00836CB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Proceed to vaccinate.</w:t>
            </w:r>
          </w:p>
        </w:tc>
      </w:tr>
      <w:tr w:rsidR="002662F5" w:rsidRPr="00836CB2" w14:paraId="26A945B5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CB0B3E" w14:textId="4A45A299" w:rsidR="002662F5" w:rsidRPr="00836CB2" w:rsidRDefault="002662F5" w:rsidP="00836CB2">
            <w:pPr>
              <w:pStyle w:val="TableText-calibri10"/>
            </w:pPr>
            <w:r w:rsidRPr="00836CB2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0E7B2E3B" w14:textId="4FA7AACF" w:rsidR="002662F5" w:rsidRPr="00836CB2" w:rsidRDefault="002662F5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Defer vaccination and {to be determined by medical prescriber}</w:t>
            </w:r>
          </w:p>
        </w:tc>
      </w:tr>
      <w:tr w:rsidR="00B93F3C" w:rsidRPr="00836CB2" w14:paraId="36916AB3" w14:textId="77777777" w:rsidTr="009D584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F6A266F" w14:textId="581B0660" w:rsidR="00B93F3C" w:rsidRPr="00836CB2" w:rsidRDefault="00B93F3C" w:rsidP="00836CB2">
            <w:pPr>
              <w:pStyle w:val="TableText-calibri10"/>
            </w:pPr>
            <w:r w:rsidRPr="00836CB2">
              <w:t>Current progressive neurological disorder, including infantile spasms, uncontrolled epilepsy, progressive encephalopathy.</w:t>
            </w:r>
          </w:p>
        </w:tc>
        <w:tc>
          <w:tcPr>
            <w:tcW w:w="5129" w:type="dxa"/>
          </w:tcPr>
          <w:p w14:paraId="46514358" w14:textId="462914EF" w:rsidR="00B93F3C" w:rsidRPr="00836CB2" w:rsidRDefault="0087537B" w:rsidP="00836CB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B93F3C" w:rsidRPr="00836CB2">
              <w:t>Refer to primary care provider.] [Delay vaccination until neurological condition can be assessed, treatment regimen is established, and patient is stabilized. Refer to primary care provider for further evaluation.] [If neurological disorder has been assessed, child is stable, and treatment regimen has been established, proceed to vaccinate using DTaP.] [If epilepsy has been evaluated and seizures are controlled [through medication] proceed to vaccinate using DTaP.]</w:t>
            </w:r>
          </w:p>
        </w:tc>
      </w:tr>
      <w:tr w:rsidR="00B93F3C" w:rsidRPr="00836CB2" w14:paraId="5E3A565A" w14:textId="77777777" w:rsidTr="009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10CF7D" w14:textId="568D3502" w:rsidR="00B93F3C" w:rsidRPr="00836CB2" w:rsidRDefault="00431736" w:rsidP="00836CB2">
            <w:pPr>
              <w:pStyle w:val="TableText-calibri10"/>
            </w:pPr>
            <w:r w:rsidRPr="00431736">
              <w:t>History of Arthus-type hypersensitivity reactions after a previous dose of tetanus or diphtheria toxoid–containing vaccines</w:t>
            </w:r>
            <w:r>
              <w:t>.</w:t>
            </w:r>
            <w:r w:rsidRPr="00431736">
              <w:t xml:space="preserve"> </w:t>
            </w:r>
          </w:p>
        </w:tc>
        <w:tc>
          <w:tcPr>
            <w:tcW w:w="5129" w:type="dxa"/>
          </w:tcPr>
          <w:p w14:paraId="19F4C51B" w14:textId="24F41BAD" w:rsidR="00B93F3C" w:rsidRPr="00836CB2" w:rsidRDefault="00431736" w:rsidP="00836CB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431736">
              <w:t>efer vaccination until at least 10 years have elapsed since the last tetanus toxoid–containing vaccine</w:t>
            </w:r>
            <w:r w:rsidRPr="00836CB2" w:rsidDel="00431736">
              <w:t xml:space="preserve"> </w:t>
            </w:r>
          </w:p>
        </w:tc>
      </w:tr>
      <w:tr w:rsidR="00B93F3C" w:rsidRPr="00836CB2" w14:paraId="2738E1F6" w14:textId="77777777" w:rsidTr="009D584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E3EAD15" w14:textId="43D66F53" w:rsidR="00B93F3C" w:rsidRPr="00836CB2" w:rsidRDefault="00EC0BFC" w:rsidP="00836CB2">
            <w:pPr>
              <w:pStyle w:val="TableText-calibri10"/>
            </w:pPr>
            <w:r>
              <w:t>Guillain</w:t>
            </w:r>
            <w:r w:rsidR="00B93F3C" w:rsidRPr="00836CB2">
              <w:t>-Barré syndrome (GBS) within 6 weeks after a previous dose of tetanus toxoid-containing vaccine.</w:t>
            </w:r>
          </w:p>
        </w:tc>
        <w:tc>
          <w:tcPr>
            <w:tcW w:w="5129" w:type="dxa"/>
          </w:tcPr>
          <w:p w14:paraId="2582D52D" w14:textId="4E697B70" w:rsidR="00B93F3C" w:rsidRPr="00836CB2" w:rsidRDefault="00836CB2" w:rsidP="00836CB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B2">
              <w:t>[Refer to primary care provider for evaluation of risk and benefit of vaccination.]</w:t>
            </w:r>
          </w:p>
        </w:tc>
      </w:tr>
    </w:tbl>
    <w:p w14:paraId="52EB7641" w14:textId="7BEDD484" w:rsidR="0015567C" w:rsidRDefault="0015567C" w:rsidP="00FA3AE0">
      <w:pPr>
        <w:pStyle w:val="Heading2"/>
        <w:keepNext/>
      </w:pPr>
      <w:r>
        <w:t>Prescription</w:t>
      </w:r>
    </w:p>
    <w:p w14:paraId="17B969AE" w14:textId="2F13A283" w:rsidR="000E03C3" w:rsidRDefault="000E03C3" w:rsidP="009D584A">
      <w:pPr>
        <w:pStyle w:val="Heading3"/>
      </w:pPr>
      <w:r>
        <w:t xml:space="preserve">Routine vaccination </w:t>
      </w:r>
    </w:p>
    <w:p w14:paraId="53C41E84" w14:textId="1479ABD5" w:rsidR="00FD0BB8" w:rsidRPr="00FD0BB8" w:rsidRDefault="00FD0BB8" w:rsidP="00FD0BB8">
      <w:r w:rsidRPr="00FD0BB8">
        <w:t xml:space="preserve">Give </w:t>
      </w:r>
      <w:r w:rsidR="006C5870">
        <w:t>DTaP</w:t>
      </w:r>
      <w:r w:rsidRPr="00FD0BB8">
        <w:t xml:space="preserve"> 0.5 ml, </w:t>
      </w:r>
      <w:r w:rsidR="004211D4">
        <w:t>intramuscularly (</w:t>
      </w:r>
      <w:r w:rsidRPr="00FD0BB8">
        <w:t>IM</w:t>
      </w:r>
      <w:r w:rsidR="004211D4">
        <w:t>)</w:t>
      </w:r>
      <w:r w:rsidRPr="00FD0BB8">
        <w:t xml:space="preserve"> at 2 months, 4 months, 6 months, 15-18 months* and 4-6 years of age. Whenever feasible, give the same product brand for all doses, however, brands may be interchanged if previous product used is unavailable.</w:t>
      </w:r>
    </w:p>
    <w:p w14:paraId="25D38300" w14:textId="1E3C3BAC" w:rsidR="00FD0BB8" w:rsidRPr="009D584A" w:rsidRDefault="00FD0BB8" w:rsidP="009D584A">
      <w:pPr>
        <w:pStyle w:val="NormalLtBlueBackground"/>
      </w:pPr>
      <w:r w:rsidRPr="009D584A">
        <w:t xml:space="preserve">*A child may receive his/her 4th dose of DTaP as early as age 12 </w:t>
      </w:r>
      <w:r w:rsidR="00827488" w:rsidRPr="009D584A">
        <w:t>months if</w:t>
      </w:r>
      <w:r w:rsidRPr="009D584A">
        <w:t xml:space="preserve"> it will be at least 6 </w:t>
      </w:r>
      <w:r w:rsidR="009D584A" w:rsidRPr="009D584A">
        <w:t>months between</w:t>
      </w:r>
      <w:r w:rsidRPr="009D584A">
        <w:t xml:space="preserve"> doses 3 and 4 and the nurse has a concern that the child will not return at 15 months of age.</w:t>
      </w:r>
    </w:p>
    <w:p w14:paraId="00275882" w14:textId="3B0B0AD6" w:rsidR="007A1AA4" w:rsidRDefault="000E03C3" w:rsidP="009D584A">
      <w:pPr>
        <w:pStyle w:val="Heading3"/>
      </w:pPr>
      <w:r>
        <w:t>Catch-up schedule</w:t>
      </w:r>
    </w:p>
    <w:p w14:paraId="492BE77E" w14:textId="54EE3F20" w:rsidR="007A1AA4" w:rsidRPr="00836CB2" w:rsidRDefault="007A1AA4" w:rsidP="00827488">
      <w:pPr>
        <w:pStyle w:val="ListBullet"/>
        <w:tabs>
          <w:tab w:val="clear" w:pos="432"/>
        </w:tabs>
      </w:pPr>
      <w:r w:rsidRPr="00836CB2">
        <w:t xml:space="preserve">Minimum </w:t>
      </w:r>
      <w:r w:rsidR="003413ED">
        <w:t>i</w:t>
      </w:r>
      <w:r w:rsidRPr="00836CB2">
        <w:t xml:space="preserve">nterval </w:t>
      </w:r>
      <w:r w:rsidR="003413ED">
        <w:t>b</w:t>
      </w:r>
      <w:r w:rsidRPr="00836CB2">
        <w:t xml:space="preserve">etween </w:t>
      </w:r>
      <w:r w:rsidR="003413ED">
        <w:t>d</w:t>
      </w:r>
      <w:r w:rsidRPr="00836CB2">
        <w:t>oses</w:t>
      </w:r>
      <w:r w:rsidR="00EE1B3F">
        <w:t>:</w:t>
      </w:r>
    </w:p>
    <w:p w14:paraId="345CB30D" w14:textId="77777777" w:rsidR="007A1AA4" w:rsidRPr="00836CB2" w:rsidRDefault="007A1AA4" w:rsidP="009D584A">
      <w:pPr>
        <w:pStyle w:val="ListBullet"/>
        <w:numPr>
          <w:ilvl w:val="0"/>
          <w:numId w:val="9"/>
        </w:numPr>
      </w:pPr>
      <w:r w:rsidRPr="00836CB2">
        <w:t>Dose 1 to dose 2: 4 weeks</w:t>
      </w:r>
    </w:p>
    <w:p w14:paraId="634DD13D" w14:textId="77777777" w:rsidR="007A1AA4" w:rsidRPr="00836CB2" w:rsidRDefault="007A1AA4" w:rsidP="009D584A">
      <w:pPr>
        <w:pStyle w:val="ListBullet"/>
        <w:numPr>
          <w:ilvl w:val="0"/>
          <w:numId w:val="9"/>
        </w:numPr>
      </w:pPr>
      <w:r w:rsidRPr="00836CB2">
        <w:t>Dose 2 to dose 3: 4 weeks</w:t>
      </w:r>
    </w:p>
    <w:p w14:paraId="3B60F0FE" w14:textId="77777777" w:rsidR="007A1AA4" w:rsidRPr="00836CB2" w:rsidRDefault="007A1AA4" w:rsidP="009D584A">
      <w:pPr>
        <w:pStyle w:val="ListBullet"/>
        <w:numPr>
          <w:ilvl w:val="0"/>
          <w:numId w:val="9"/>
        </w:numPr>
      </w:pPr>
      <w:r w:rsidRPr="00836CB2">
        <w:t>Dose 3 to dose 4: 6 months</w:t>
      </w:r>
    </w:p>
    <w:p w14:paraId="110A2654" w14:textId="77777777" w:rsidR="007A1AA4" w:rsidRPr="00836CB2" w:rsidRDefault="007A1AA4" w:rsidP="009D584A">
      <w:pPr>
        <w:pStyle w:val="ListBullet"/>
        <w:numPr>
          <w:ilvl w:val="0"/>
          <w:numId w:val="9"/>
        </w:numPr>
      </w:pPr>
      <w:r w:rsidRPr="00836CB2">
        <w:lastRenderedPageBreak/>
        <w:t>Dose 4 to dose 5: 6 months</w:t>
      </w:r>
    </w:p>
    <w:p w14:paraId="4D6D2720" w14:textId="77777777" w:rsidR="007A1AA4" w:rsidRPr="00836CB2" w:rsidRDefault="007A1AA4" w:rsidP="00BD376A">
      <w:pPr>
        <w:pStyle w:val="ListBullet"/>
        <w:numPr>
          <w:ilvl w:val="0"/>
          <w:numId w:val="9"/>
        </w:numPr>
      </w:pPr>
      <w:r w:rsidRPr="00773E97">
        <w:t>Dose 5 is not necessary if dose 4 was administered at age 4 years or older and at least 6 months after dose 3.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9D584A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F13D" w14:textId="77777777" w:rsidR="006D0C91" w:rsidRDefault="006D0C91" w:rsidP="00D36495">
      <w:r>
        <w:separator/>
      </w:r>
    </w:p>
  </w:endnote>
  <w:endnote w:type="continuationSeparator" w:id="0">
    <w:p w14:paraId="3819C19D" w14:textId="77777777" w:rsidR="006D0C91" w:rsidRDefault="006D0C91" w:rsidP="00D36495">
      <w:r>
        <w:continuationSeparator/>
      </w:r>
    </w:p>
  </w:endnote>
  <w:endnote w:type="continuationNotice" w:id="1">
    <w:p w14:paraId="6CB3E809" w14:textId="77777777" w:rsidR="006D0C91" w:rsidRDefault="006D0C9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7041" w14:textId="77777777" w:rsidR="006D0C91" w:rsidRDefault="006D0C91" w:rsidP="00D36495">
      <w:r>
        <w:separator/>
      </w:r>
    </w:p>
  </w:footnote>
  <w:footnote w:type="continuationSeparator" w:id="0">
    <w:p w14:paraId="14EC1FFB" w14:textId="77777777" w:rsidR="006D0C91" w:rsidRDefault="006D0C91" w:rsidP="00D36495">
      <w:r>
        <w:continuationSeparator/>
      </w:r>
    </w:p>
  </w:footnote>
  <w:footnote w:type="continuationNotice" w:id="1">
    <w:p w14:paraId="55526F0A" w14:textId="77777777" w:rsidR="006D0C91" w:rsidRDefault="006D0C9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34933B44" w:rsidR="00782710" w:rsidRPr="005F3404" w:rsidRDefault="00B93F3C" w:rsidP="00B93F3C">
    <w:pPr>
      <w:pStyle w:val="Header"/>
    </w:pPr>
    <w:r w:rsidRPr="002662F5">
      <w:t xml:space="preserve">Diphtheria, Tetanus and Pertussis </w:t>
    </w:r>
    <w:r w:rsidR="00CE7311">
      <w:t xml:space="preserve">(DTaP) </w:t>
    </w:r>
    <w:r w:rsidR="00E56FE8">
      <w:t xml:space="preserve">routine </w:t>
    </w:r>
    <w:r w:rsidR="00827488">
      <w:t>and</w:t>
    </w:r>
    <w:r w:rsidR="00E56FE8">
      <w:t xml:space="preserve"> catch-up </w:t>
    </w:r>
    <w:r w:rsidRPr="002662F5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49081988">
    <w:abstractNumId w:val="11"/>
  </w:num>
  <w:num w:numId="2" w16cid:durableId="1675955219">
    <w:abstractNumId w:val="1"/>
  </w:num>
  <w:num w:numId="3" w16cid:durableId="968903129">
    <w:abstractNumId w:val="0"/>
  </w:num>
  <w:num w:numId="4" w16cid:durableId="1342313887">
    <w:abstractNumId w:val="9"/>
  </w:num>
  <w:num w:numId="5" w16cid:durableId="1209344049">
    <w:abstractNumId w:val="13"/>
  </w:num>
  <w:num w:numId="6" w16cid:durableId="144591534">
    <w:abstractNumId w:val="3"/>
  </w:num>
  <w:num w:numId="7" w16cid:durableId="2118794286">
    <w:abstractNumId w:val="2"/>
  </w:num>
  <w:num w:numId="8" w16cid:durableId="2021857624">
    <w:abstractNumId w:val="7"/>
  </w:num>
  <w:num w:numId="9" w16cid:durableId="1893420038">
    <w:abstractNumId w:val="5"/>
  </w:num>
  <w:num w:numId="10" w16cid:durableId="439029766">
    <w:abstractNumId w:val="12"/>
  </w:num>
  <w:num w:numId="11" w16cid:durableId="1153720838">
    <w:abstractNumId w:val="10"/>
  </w:num>
  <w:num w:numId="12" w16cid:durableId="1367177943">
    <w:abstractNumId w:val="6"/>
  </w:num>
  <w:num w:numId="13" w16cid:durableId="813254221">
    <w:abstractNumId w:val="8"/>
  </w:num>
  <w:num w:numId="14" w16cid:durableId="84504865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3BCD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4890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6AA6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3C3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9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2F5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773DF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CB0"/>
    <w:rsid w:val="00335CF3"/>
    <w:rsid w:val="0033678C"/>
    <w:rsid w:val="00337903"/>
    <w:rsid w:val="00337EC8"/>
    <w:rsid w:val="003400B7"/>
    <w:rsid w:val="0034028B"/>
    <w:rsid w:val="00340F82"/>
    <w:rsid w:val="003411ED"/>
    <w:rsid w:val="003413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6FA7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43D3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EA3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1D4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36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5F3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5BF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4F5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BB5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E3C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0487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8D7"/>
    <w:rsid w:val="006A0227"/>
    <w:rsid w:val="006A05D9"/>
    <w:rsid w:val="006A06AC"/>
    <w:rsid w:val="006A1BA6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870"/>
    <w:rsid w:val="006C5A89"/>
    <w:rsid w:val="006C6A53"/>
    <w:rsid w:val="006C74B7"/>
    <w:rsid w:val="006C7588"/>
    <w:rsid w:val="006D0794"/>
    <w:rsid w:val="006D0A93"/>
    <w:rsid w:val="006D0C91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4F5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3016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6A5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A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6E1D"/>
    <w:rsid w:val="007F7E22"/>
    <w:rsid w:val="008000A6"/>
    <w:rsid w:val="00800EB3"/>
    <w:rsid w:val="008017A8"/>
    <w:rsid w:val="00801C81"/>
    <w:rsid w:val="00801CDC"/>
    <w:rsid w:val="00802208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DCA"/>
    <w:rsid w:val="00813327"/>
    <w:rsid w:val="0081367B"/>
    <w:rsid w:val="00814069"/>
    <w:rsid w:val="008144D2"/>
    <w:rsid w:val="00814685"/>
    <w:rsid w:val="008149E1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9CC"/>
    <w:rsid w:val="00824A97"/>
    <w:rsid w:val="00824D8A"/>
    <w:rsid w:val="008250D5"/>
    <w:rsid w:val="0082562F"/>
    <w:rsid w:val="00826C5E"/>
    <w:rsid w:val="00826EE5"/>
    <w:rsid w:val="00826F7B"/>
    <w:rsid w:val="00827488"/>
    <w:rsid w:val="008309E9"/>
    <w:rsid w:val="008311F7"/>
    <w:rsid w:val="00831301"/>
    <w:rsid w:val="0083188D"/>
    <w:rsid w:val="00834ACA"/>
    <w:rsid w:val="00836BB7"/>
    <w:rsid w:val="00836CB2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382"/>
    <w:rsid w:val="008617C5"/>
    <w:rsid w:val="00861A88"/>
    <w:rsid w:val="00861B3E"/>
    <w:rsid w:val="00863CF0"/>
    <w:rsid w:val="00863ECC"/>
    <w:rsid w:val="00865BA5"/>
    <w:rsid w:val="00865E0E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37B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3F8"/>
    <w:rsid w:val="00885662"/>
    <w:rsid w:val="00885D24"/>
    <w:rsid w:val="00885E2C"/>
    <w:rsid w:val="00886C90"/>
    <w:rsid w:val="008870C5"/>
    <w:rsid w:val="00887CE6"/>
    <w:rsid w:val="008900FC"/>
    <w:rsid w:val="00890754"/>
    <w:rsid w:val="00891091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0E8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50F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14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0D7"/>
    <w:rsid w:val="008D1868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D80"/>
    <w:rsid w:val="008E0E9A"/>
    <w:rsid w:val="008E126C"/>
    <w:rsid w:val="008E13CD"/>
    <w:rsid w:val="008E40E8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BD1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D49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84A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389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491A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5C1"/>
    <w:rsid w:val="00A46F69"/>
    <w:rsid w:val="00A47052"/>
    <w:rsid w:val="00A475CB"/>
    <w:rsid w:val="00A4762F"/>
    <w:rsid w:val="00A50D02"/>
    <w:rsid w:val="00A51A14"/>
    <w:rsid w:val="00A51C7A"/>
    <w:rsid w:val="00A51D6A"/>
    <w:rsid w:val="00A520E7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CBA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097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D02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6E6A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F3C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B7F86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376A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DA5"/>
    <w:rsid w:val="00C04A75"/>
    <w:rsid w:val="00C04E48"/>
    <w:rsid w:val="00C06322"/>
    <w:rsid w:val="00C066F7"/>
    <w:rsid w:val="00C06CD7"/>
    <w:rsid w:val="00C07294"/>
    <w:rsid w:val="00C07BCA"/>
    <w:rsid w:val="00C07EC9"/>
    <w:rsid w:val="00C10818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2764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17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5DBC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56F4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395A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E28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311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4B7D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4D4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3517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3C04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ECF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960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96F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DF79D3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E95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56FE8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725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4DA0"/>
    <w:rsid w:val="00EB5253"/>
    <w:rsid w:val="00EB615F"/>
    <w:rsid w:val="00EB623B"/>
    <w:rsid w:val="00EB7BBF"/>
    <w:rsid w:val="00EB7EF3"/>
    <w:rsid w:val="00EC06D8"/>
    <w:rsid w:val="00EC0BFC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1B3F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308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5EDF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78FC"/>
    <w:rsid w:val="00F8062C"/>
    <w:rsid w:val="00F83A87"/>
    <w:rsid w:val="00F83AA6"/>
    <w:rsid w:val="00F85592"/>
    <w:rsid w:val="00F85BC7"/>
    <w:rsid w:val="00F85F34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59D9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0BB8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1BF"/>
    <w:rsid w:val="00FD7319"/>
    <w:rsid w:val="00FD79A8"/>
    <w:rsid w:val="00FE05E8"/>
    <w:rsid w:val="00FE098C"/>
    <w:rsid w:val="00FE0C35"/>
    <w:rsid w:val="00FE138A"/>
    <w:rsid w:val="00FE1EB7"/>
    <w:rsid w:val="00FE31AA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EBB99C6-6191-4836-B3D8-FD98DCF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827488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27488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7488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27488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2748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7488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827488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7488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B93F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A520E7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A520E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20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fff41837-5838-4dec-ad5d-0fd8d2f05163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95469566-ff15-40dd-a806-b3ff38c3d566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999FF-3DEB-4066-8D70-E2EAE618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3</Pages>
  <Words>736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Diphtheria, Tetanus and Pertussis (DTaP) Vaccine Protocol</vt:lpstr>
    </vt:vector>
  </TitlesOfParts>
  <Company>State of Minnesota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Diphtheria, Tetanus and Pertussis (DTaP) Routine and Catch-up Vaccine Protocol</dc:title>
  <dc:subject>Diphtheria, Tetanus and Pertussis (DTaP) Routine and Catch-up Vaccine Protocol</dc:subject>
  <dc:creator>Minnesota Dept. of Health</dc:creator>
  <cp:keywords/>
  <dc:description/>
  <cp:lastModifiedBy>Schultz, Tracy (She/Her/Hers) (MDH)</cp:lastModifiedBy>
  <cp:revision>7</cp:revision>
  <cp:lastPrinted>2016-12-14T16:03:00Z</cp:lastPrinted>
  <dcterms:created xsi:type="dcterms:W3CDTF">2023-06-02T19:15:00Z</dcterms:created>
  <dcterms:modified xsi:type="dcterms:W3CDTF">2026-01-15T16:14:00Z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