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055B" w14:textId="77777777" w:rsidR="001864D5" w:rsidRDefault="001864D5" w:rsidP="00BF4586">
      <w:pPr>
        <w:pStyle w:val="Heading1"/>
      </w:pPr>
      <w:r>
        <w:t>Checklist for Chapter 5 – Notice of Intent to Adopt Rules without a Public Hearing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BF4586" w14:paraId="1A4B4D97" w14:textId="77777777" w:rsidTr="007D130B">
        <w:trPr>
          <w:tblHeader/>
        </w:trPr>
        <w:tc>
          <w:tcPr>
            <w:tcW w:w="2520" w:type="dxa"/>
          </w:tcPr>
          <w:p w14:paraId="56A834BD" w14:textId="77777777" w:rsidR="00BF4586" w:rsidRDefault="00BF4586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0DFC1200" w14:textId="77777777" w:rsidR="00BF4586" w:rsidRDefault="00BF4586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BF4586" w14:paraId="4A521A94" w14:textId="77777777" w:rsidTr="00977D34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5EC4730" w14:textId="77777777" w:rsidR="00BF4586" w:rsidRDefault="00BF4586" w:rsidP="00977D34"/>
        </w:tc>
        <w:tc>
          <w:tcPr>
            <w:tcW w:w="7470" w:type="dxa"/>
          </w:tcPr>
          <w:p w14:paraId="6473D227" w14:textId="2A3A4D21" w:rsidR="00BF4586" w:rsidRDefault="00BF4586" w:rsidP="007D130B">
            <w:r w:rsidRPr="00DB79F6">
              <w:rPr>
                <w:b/>
                <w:bCs/>
                <w:sz w:val="24"/>
                <w:szCs w:val="24"/>
              </w:rPr>
              <w:t>5 – Entire chapter reviewed before proceeding</w:t>
            </w:r>
            <w:r w:rsidRPr="00DB79F6">
              <w:rPr>
                <w:b/>
                <w:bCs/>
                <w:sz w:val="24"/>
                <w:szCs w:val="24"/>
              </w:rPr>
              <w:br/>
            </w:r>
            <w:r w:rsidRPr="00DB79F6">
              <w:rPr>
                <w:sz w:val="24"/>
                <w:szCs w:val="24"/>
              </w:rPr>
              <w:t>- Decision made on how to proceed</w:t>
            </w:r>
          </w:p>
        </w:tc>
      </w:tr>
      <w:tr w:rsidR="00BF4586" w14:paraId="65EE8A5E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D275A2" w14:textId="77777777" w:rsidR="00BF4586" w:rsidRDefault="00BF4586" w:rsidP="00977D34"/>
        </w:tc>
        <w:tc>
          <w:tcPr>
            <w:tcW w:w="7470" w:type="dxa"/>
          </w:tcPr>
          <w:p w14:paraId="06F7A7D7" w14:textId="005E2366" w:rsidR="00BF4586" w:rsidRPr="00BF4586" w:rsidRDefault="00BF4586" w:rsidP="004874D4">
            <w:pPr>
              <w:rPr>
                <w:i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5.1 – Considerations before proceeding</w:t>
            </w:r>
            <w:r w:rsidRPr="00DB79F6">
              <w:rPr>
                <w:b/>
                <w:bCs/>
                <w:sz w:val="24"/>
                <w:szCs w:val="24"/>
              </w:rPr>
              <w:br/>
              <w:t>- 5.1.1 – Rules and SONAR done</w:t>
            </w:r>
            <w:r w:rsidRPr="00DB79F6">
              <w:rPr>
                <w:b/>
                <w:bCs/>
                <w:sz w:val="24"/>
                <w:szCs w:val="24"/>
              </w:rPr>
              <w:br/>
              <w:t>- 5.1.2 – Allow time to complete steps</w:t>
            </w:r>
            <w:r w:rsidRPr="00DB79F6">
              <w:rPr>
                <w:b/>
                <w:bCs/>
                <w:sz w:val="24"/>
                <w:szCs w:val="24"/>
              </w:rPr>
              <w:br/>
              <w:t>- 5.1.3 – 60 days after Request for Comments published</w:t>
            </w:r>
            <w:r w:rsidRPr="00DB79F6">
              <w:rPr>
                <w:b/>
                <w:bCs/>
                <w:sz w:val="24"/>
                <w:szCs w:val="24"/>
              </w:rPr>
              <w:br/>
              <w:t>- 5.1.4 – With 18 months of new or revised rulemaking authority (if appliable)</w:t>
            </w:r>
            <w:r w:rsidRPr="00DB79F6">
              <w:rPr>
                <w:b/>
                <w:bCs/>
                <w:sz w:val="24"/>
                <w:szCs w:val="24"/>
              </w:rPr>
              <w:br/>
              <w:t>- 5.1.5 – Consideration for rules affecting farming operations</w:t>
            </w:r>
            <w:r w:rsidRPr="00DB79F6">
              <w:rPr>
                <w:b/>
                <w:bCs/>
                <w:sz w:val="24"/>
                <w:szCs w:val="24"/>
              </w:rPr>
              <w:br/>
              <w:t>- 5.1.6 – Counting time</w:t>
            </w:r>
          </w:p>
        </w:tc>
      </w:tr>
      <w:tr w:rsidR="00BF4586" w14:paraId="336A1032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3F18E2" w14:textId="77777777" w:rsidR="00BF4586" w:rsidRDefault="00BF4586" w:rsidP="00977D34"/>
        </w:tc>
        <w:tc>
          <w:tcPr>
            <w:tcW w:w="7470" w:type="dxa"/>
          </w:tcPr>
          <w:p w14:paraId="38B28376" w14:textId="03882DAB" w:rsidR="00BF4586" w:rsidRDefault="00BF4586" w:rsidP="004874D4">
            <w:r w:rsidRPr="00DB79F6">
              <w:rPr>
                <w:b/>
                <w:bCs/>
                <w:sz w:val="24"/>
                <w:szCs w:val="24"/>
              </w:rPr>
              <w:t>5.2 – Agency approval to give Notice obtained</w:t>
            </w:r>
            <w:r w:rsidRPr="00DB79F6">
              <w:rPr>
                <w:b/>
                <w:bCs/>
                <w:sz w:val="24"/>
                <w:szCs w:val="24"/>
              </w:rPr>
              <w:br/>
            </w:r>
            <w:r w:rsidRPr="00DB79F6">
              <w:rPr>
                <w:sz w:val="24"/>
                <w:szCs w:val="24"/>
              </w:rPr>
              <w:t xml:space="preserve">- If agency is a multi-member board, </w:t>
            </w:r>
            <w:r w:rsidRPr="00DB79F6">
              <w:rPr>
                <w:b/>
                <w:bCs/>
                <w:sz w:val="24"/>
                <w:szCs w:val="24"/>
              </w:rPr>
              <w:t xml:space="preserve">BD-NTC </w:t>
            </w:r>
            <w:r w:rsidRPr="00DB79F6">
              <w:rPr>
                <w:sz w:val="24"/>
                <w:szCs w:val="24"/>
              </w:rPr>
              <w:t>form used</w:t>
            </w:r>
          </w:p>
        </w:tc>
      </w:tr>
      <w:tr w:rsidR="00BF4586" w14:paraId="337F682A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C2F33" w14:textId="77777777" w:rsidR="00BF4586" w:rsidRDefault="00BF4586" w:rsidP="00977D34"/>
        </w:tc>
        <w:tc>
          <w:tcPr>
            <w:tcW w:w="7470" w:type="dxa"/>
          </w:tcPr>
          <w:p w14:paraId="13AB739F" w14:textId="39B2D60A" w:rsidR="00BF4586" w:rsidRDefault="00BF4586" w:rsidP="007D130B">
            <w:r w:rsidRPr="00DB79F6">
              <w:rPr>
                <w:b/>
                <w:bCs/>
                <w:sz w:val="24"/>
                <w:szCs w:val="24"/>
              </w:rPr>
              <w:t>5.3 – Governor’s Office approval obtained</w:t>
            </w:r>
            <w:r w:rsidRPr="00DB79F6">
              <w:rPr>
                <w:b/>
                <w:bCs/>
                <w:sz w:val="24"/>
                <w:szCs w:val="24"/>
              </w:rPr>
              <w:br/>
              <w:t xml:space="preserve">- GOV-PRPS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4874D4" w14:paraId="0A0C6CAA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D1ABF" w14:textId="77777777" w:rsidR="004874D4" w:rsidRDefault="004874D4" w:rsidP="00977D34"/>
        </w:tc>
        <w:tc>
          <w:tcPr>
            <w:tcW w:w="7470" w:type="dxa"/>
          </w:tcPr>
          <w:p w14:paraId="1CE7F771" w14:textId="35F8D032" w:rsidR="004874D4" w:rsidRPr="00DB79F6" w:rsidRDefault="004874D4" w:rsidP="004874D4">
            <w:pPr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5.3 – Consult with MMB</w:t>
            </w:r>
            <w:r w:rsidRPr="00DB79F6">
              <w:rPr>
                <w:b/>
                <w:bCs/>
                <w:sz w:val="24"/>
                <w:szCs w:val="24"/>
              </w:rPr>
              <w:br/>
              <w:t xml:space="preserve">- MMB-LTR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BF4586" w14:paraId="7740CF2B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BDF16" w14:textId="77777777" w:rsidR="00BF4586" w:rsidRDefault="00BF4586" w:rsidP="00977D34"/>
        </w:tc>
        <w:tc>
          <w:tcPr>
            <w:tcW w:w="7470" w:type="dxa"/>
          </w:tcPr>
          <w:p w14:paraId="1A34D0F4" w14:textId="2B84BF64" w:rsidR="00BF4586" w:rsidRPr="00FE4EF0" w:rsidRDefault="00BF4586" w:rsidP="004874D4">
            <w:pPr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5.4 – Revisor’s Draft Approved for Publication obtained (with certificate signed by the Revisor)</w:t>
            </w:r>
          </w:p>
        </w:tc>
      </w:tr>
      <w:tr w:rsidR="00BF4586" w14:paraId="333622CE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89D1C" w14:textId="77777777" w:rsidR="00BF4586" w:rsidRDefault="00BF4586" w:rsidP="00977D34"/>
        </w:tc>
        <w:tc>
          <w:tcPr>
            <w:tcW w:w="7470" w:type="dxa"/>
          </w:tcPr>
          <w:p w14:paraId="3E8FF1A5" w14:textId="48555E49" w:rsidR="00BF4586" w:rsidRPr="00FE4EF0" w:rsidRDefault="00BF4586" w:rsidP="004874D4">
            <w:pPr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5.5 – End of comment period calculated. Factors considered:</w:t>
            </w:r>
            <w:r w:rsidRPr="00DB79F6">
              <w:rPr>
                <w:b/>
                <w:bCs/>
                <w:sz w:val="24"/>
                <w:szCs w:val="24"/>
              </w:rPr>
              <w:br/>
            </w:r>
            <w:r w:rsidRPr="00DB79F6">
              <w:rPr>
                <w:sz w:val="24"/>
                <w:szCs w:val="24"/>
              </w:rPr>
              <w:t xml:space="preserve">- </w:t>
            </w:r>
            <w:r w:rsidRPr="00DB79F6">
              <w:rPr>
                <w:b/>
                <w:bCs/>
                <w:sz w:val="24"/>
                <w:szCs w:val="24"/>
              </w:rPr>
              <w:t xml:space="preserve">30-day comment period </w:t>
            </w:r>
            <w:r w:rsidRPr="00DB79F6">
              <w:rPr>
                <w:sz w:val="24"/>
                <w:szCs w:val="24"/>
              </w:rPr>
              <w:t>(minimum)</w:t>
            </w:r>
            <w:r w:rsidRPr="00DB79F6">
              <w:rPr>
                <w:sz w:val="24"/>
                <w:szCs w:val="24"/>
              </w:rPr>
              <w:br/>
            </w:r>
            <w:r w:rsidRPr="00DB79F6">
              <w:rPr>
                <w:b/>
                <w:bCs/>
                <w:sz w:val="24"/>
                <w:szCs w:val="24"/>
              </w:rPr>
              <w:t xml:space="preserve">- </w:t>
            </w:r>
            <w:r w:rsidR="00656CF8">
              <w:rPr>
                <w:b/>
                <w:bCs/>
                <w:sz w:val="24"/>
                <w:szCs w:val="24"/>
              </w:rPr>
              <w:t>C</w:t>
            </w:r>
            <w:r w:rsidRPr="00DB79F6">
              <w:rPr>
                <w:b/>
                <w:bCs/>
                <w:sz w:val="24"/>
                <w:szCs w:val="24"/>
              </w:rPr>
              <w:t xml:space="preserve">AH review time </w:t>
            </w:r>
            <w:r w:rsidRPr="00DB79F6">
              <w:rPr>
                <w:sz w:val="24"/>
                <w:szCs w:val="24"/>
              </w:rPr>
              <w:t>(5 working days)</w:t>
            </w:r>
            <w:r w:rsidRPr="00DB79F6">
              <w:rPr>
                <w:sz w:val="24"/>
                <w:szCs w:val="24"/>
              </w:rPr>
              <w:br/>
            </w:r>
            <w:r w:rsidRPr="00DB79F6">
              <w:rPr>
                <w:b/>
                <w:bCs/>
                <w:sz w:val="24"/>
                <w:szCs w:val="24"/>
              </w:rPr>
              <w:t xml:space="preserve">- Rules affecting farming operations </w:t>
            </w:r>
            <w:r w:rsidRPr="00DB79F6">
              <w:rPr>
                <w:sz w:val="24"/>
                <w:szCs w:val="24"/>
              </w:rPr>
              <w:t>(30 days additional notice)</w:t>
            </w:r>
            <w:r w:rsidRPr="00DB79F6">
              <w:rPr>
                <w:sz w:val="24"/>
                <w:szCs w:val="24"/>
              </w:rPr>
              <w:br/>
            </w:r>
            <w:r w:rsidRPr="00DB79F6">
              <w:rPr>
                <w:b/>
                <w:bCs/>
                <w:sz w:val="24"/>
                <w:szCs w:val="24"/>
              </w:rPr>
              <w:t xml:space="preserve">- </w:t>
            </w:r>
            <w:r w:rsidRPr="00DB79F6">
              <w:rPr>
                <w:b/>
                <w:bCs/>
                <w:i/>
                <w:iCs/>
                <w:sz w:val="24"/>
                <w:szCs w:val="24"/>
              </w:rPr>
              <w:t xml:space="preserve">State Register </w:t>
            </w:r>
            <w:r w:rsidRPr="00DB79F6">
              <w:rPr>
                <w:b/>
                <w:bCs/>
                <w:sz w:val="24"/>
                <w:szCs w:val="24"/>
              </w:rPr>
              <w:t>deadlines</w:t>
            </w:r>
            <w:r w:rsidRPr="00DB79F6">
              <w:rPr>
                <w:b/>
                <w:bCs/>
                <w:sz w:val="24"/>
                <w:szCs w:val="24"/>
              </w:rPr>
              <w:br/>
              <w:t>- Give yourself enough time</w:t>
            </w:r>
          </w:p>
        </w:tc>
      </w:tr>
      <w:tr w:rsidR="00BF4586" w14:paraId="5B9389C1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F441F" w14:textId="77777777" w:rsidR="00BF4586" w:rsidRDefault="00BF4586" w:rsidP="00977D34"/>
        </w:tc>
        <w:tc>
          <w:tcPr>
            <w:tcW w:w="7470" w:type="dxa"/>
          </w:tcPr>
          <w:p w14:paraId="5A0ED92F" w14:textId="77777777" w:rsidR="00BF4586" w:rsidRDefault="00BF4586" w:rsidP="00BF4586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5.6 – Notice of Intent to Adopt Rules without a Public Hearing drafted</w:t>
            </w:r>
          </w:p>
          <w:p w14:paraId="0E485A1F" w14:textId="77777777" w:rsidR="00BF4586" w:rsidRDefault="00BF4586" w:rsidP="00BF4586">
            <w:pPr>
              <w:spacing w:before="0"/>
              <w:ind w:left="2880" w:hanging="2880"/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 xml:space="preserve">- NTC-NH </w:t>
            </w:r>
            <w:r w:rsidRPr="00DB79F6">
              <w:rPr>
                <w:sz w:val="24"/>
                <w:szCs w:val="24"/>
              </w:rPr>
              <w:t>form used</w:t>
            </w:r>
          </w:p>
          <w:p w14:paraId="39250D9C" w14:textId="708C0F8B" w:rsidR="00BF4586" w:rsidRDefault="00BF4586" w:rsidP="00BF4586">
            <w:pPr>
              <w:spacing w:before="0"/>
              <w:ind w:left="2880" w:hanging="2880"/>
              <w:rPr>
                <w:sz w:val="24"/>
                <w:szCs w:val="24"/>
              </w:rPr>
            </w:pPr>
            <w:r w:rsidRPr="00DB79F6">
              <w:rPr>
                <w:sz w:val="24"/>
                <w:szCs w:val="24"/>
              </w:rPr>
              <w:t xml:space="preserve">- Using </w:t>
            </w:r>
            <w:proofErr w:type="spellStart"/>
            <w:r w:rsidR="00656CF8">
              <w:rPr>
                <w:sz w:val="24"/>
                <w:szCs w:val="24"/>
              </w:rPr>
              <w:t>C</w:t>
            </w:r>
            <w:r w:rsidRPr="00DB79F6">
              <w:rPr>
                <w:sz w:val="24"/>
                <w:szCs w:val="24"/>
              </w:rPr>
              <w:t>AH’s</w:t>
            </w:r>
            <w:proofErr w:type="spellEnd"/>
            <w:r w:rsidRPr="00DB79F6">
              <w:rPr>
                <w:sz w:val="24"/>
                <w:szCs w:val="24"/>
              </w:rPr>
              <w:t xml:space="preserve"> eComments website to collect comments considered</w:t>
            </w:r>
          </w:p>
          <w:p w14:paraId="21552C5C" w14:textId="4968161C" w:rsidR="00BF4586" w:rsidRPr="00BF4586" w:rsidRDefault="00BF4586" w:rsidP="00BF4586">
            <w:pPr>
              <w:spacing w:before="0"/>
              <w:ind w:left="2880" w:hanging="2880"/>
              <w:rPr>
                <w:sz w:val="24"/>
                <w:szCs w:val="24"/>
              </w:rPr>
            </w:pPr>
            <w:r w:rsidRPr="00DB79F6">
              <w:rPr>
                <w:sz w:val="24"/>
                <w:szCs w:val="24"/>
              </w:rPr>
              <w:t xml:space="preserve">- “Substantially different” rules considered </w:t>
            </w:r>
          </w:p>
        </w:tc>
      </w:tr>
      <w:tr w:rsidR="00BF4586" w14:paraId="58A4DAFF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C7BB6" w14:textId="77777777" w:rsidR="00BF4586" w:rsidRDefault="00BF4586" w:rsidP="00977D34"/>
        </w:tc>
        <w:tc>
          <w:tcPr>
            <w:tcW w:w="7470" w:type="dxa"/>
          </w:tcPr>
          <w:p w14:paraId="4092BE8C" w14:textId="52A84B5F" w:rsidR="00BF4586" w:rsidRPr="00DB79F6" w:rsidRDefault="00BF4586" w:rsidP="00BF4586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5.7 – Additional Notice Plan developed</w:t>
            </w:r>
          </w:p>
        </w:tc>
      </w:tr>
      <w:tr w:rsidR="00BF4586" w14:paraId="697F89C5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12338" w14:textId="77777777" w:rsidR="00BF4586" w:rsidRDefault="00BF4586" w:rsidP="00977D34"/>
        </w:tc>
        <w:tc>
          <w:tcPr>
            <w:tcW w:w="7470" w:type="dxa"/>
          </w:tcPr>
          <w:p w14:paraId="060674BF" w14:textId="729288BC" w:rsidR="00BF4586" w:rsidRDefault="00BF4586" w:rsidP="004874D4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 xml:space="preserve">5.8 – </w:t>
            </w:r>
            <w:r w:rsidR="00656CF8">
              <w:rPr>
                <w:b/>
                <w:bCs/>
                <w:sz w:val="24"/>
                <w:szCs w:val="24"/>
              </w:rPr>
              <w:t>C</w:t>
            </w:r>
            <w:r w:rsidRPr="00DB79F6">
              <w:rPr>
                <w:b/>
                <w:bCs/>
                <w:sz w:val="24"/>
                <w:szCs w:val="24"/>
              </w:rPr>
              <w:t>AH contacted</w:t>
            </w:r>
          </w:p>
          <w:p w14:paraId="06D7040D" w14:textId="77777777" w:rsidR="00BF4586" w:rsidRDefault="00BF4586" w:rsidP="00BF4586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- 5.8.1 – ALJ assigned</w:t>
            </w:r>
          </w:p>
          <w:p w14:paraId="56659B37" w14:textId="77777777" w:rsidR="00BF4586" w:rsidRDefault="00BF4586" w:rsidP="00BF4586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- 5.8.2 – Set up eComments (if using)</w:t>
            </w:r>
          </w:p>
          <w:p w14:paraId="6C71AC0F" w14:textId="2DDE892E" w:rsidR="00BF4586" w:rsidRDefault="00BF4586" w:rsidP="00BF4586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 xml:space="preserve">- 5.8.3 – Letter to </w:t>
            </w:r>
            <w:r w:rsidR="00656CF8">
              <w:rPr>
                <w:b/>
                <w:bCs/>
                <w:sz w:val="24"/>
                <w:szCs w:val="24"/>
              </w:rPr>
              <w:t>C</w:t>
            </w:r>
            <w:r w:rsidRPr="00DB79F6">
              <w:rPr>
                <w:b/>
                <w:bCs/>
                <w:sz w:val="24"/>
                <w:szCs w:val="24"/>
              </w:rPr>
              <w:t>AH</w:t>
            </w:r>
          </w:p>
          <w:p w14:paraId="29C0EE37" w14:textId="4F5CBA99" w:rsidR="00BF4586" w:rsidRPr="00BF4586" w:rsidRDefault="00BF4586" w:rsidP="004874D4">
            <w:pPr>
              <w:spacing w:before="0"/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 xml:space="preserve">- NP-RLNTC </w:t>
            </w:r>
            <w:r w:rsidRPr="00DB79F6">
              <w:rPr>
                <w:sz w:val="24"/>
                <w:szCs w:val="24"/>
              </w:rPr>
              <w:t>letter used for cover letter</w:t>
            </w:r>
            <w:r w:rsidRPr="00DB79F6">
              <w:rPr>
                <w:sz w:val="24"/>
                <w:szCs w:val="24"/>
              </w:rPr>
              <w:br/>
              <w:t>- Request approval of Additional Notice Plan (optional)</w:t>
            </w:r>
            <w:r w:rsidRPr="00DB79F6">
              <w:rPr>
                <w:sz w:val="24"/>
                <w:szCs w:val="24"/>
              </w:rPr>
              <w:br/>
              <w:t xml:space="preserve">- </w:t>
            </w:r>
            <w:r w:rsidRPr="00DB79F6">
              <w:rPr>
                <w:b/>
                <w:bCs/>
                <w:sz w:val="24"/>
                <w:szCs w:val="24"/>
              </w:rPr>
              <w:t xml:space="preserve">5.8.4 - </w:t>
            </w:r>
            <w:r w:rsidRPr="00DB79F6">
              <w:rPr>
                <w:sz w:val="24"/>
                <w:szCs w:val="24"/>
              </w:rPr>
              <w:t>Request omission of full text of proposed rules from publication</w:t>
            </w:r>
            <w:r w:rsidR="004874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(rare)</w:t>
            </w:r>
            <w:r w:rsidRPr="00DB79F6">
              <w:rPr>
                <w:sz w:val="24"/>
                <w:szCs w:val="24"/>
              </w:rPr>
              <w:t xml:space="preserve"> </w:t>
            </w:r>
            <w:r w:rsidRPr="00DB79F6">
              <w:rPr>
                <w:sz w:val="24"/>
                <w:szCs w:val="24"/>
              </w:rPr>
              <w:br/>
              <w:t xml:space="preserve">- </w:t>
            </w:r>
            <w:r w:rsidRPr="00DB79F6">
              <w:rPr>
                <w:b/>
                <w:bCs/>
                <w:sz w:val="24"/>
                <w:szCs w:val="24"/>
              </w:rPr>
              <w:t>5.8.5 – eFile rule-related documents</w:t>
            </w:r>
          </w:p>
        </w:tc>
      </w:tr>
      <w:tr w:rsidR="00BF4586" w14:paraId="25C81B37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425C1" w14:textId="77777777" w:rsidR="00BF4586" w:rsidRDefault="00BF4586" w:rsidP="00977D34"/>
        </w:tc>
        <w:tc>
          <w:tcPr>
            <w:tcW w:w="7470" w:type="dxa"/>
          </w:tcPr>
          <w:p w14:paraId="3F6818A4" w14:textId="77777777" w:rsidR="00BF4586" w:rsidRDefault="00BF4586" w:rsidP="00BF4586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5.9 – Notice finalized</w:t>
            </w:r>
          </w:p>
          <w:p w14:paraId="00D9275F" w14:textId="64A80639" w:rsidR="00BF4586" w:rsidRPr="00DB79F6" w:rsidRDefault="00BF4586" w:rsidP="00BF4586">
            <w:pPr>
              <w:tabs>
                <w:tab w:val="left" w:pos="6825"/>
              </w:tabs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DB79F6">
              <w:rPr>
                <w:sz w:val="24"/>
                <w:szCs w:val="24"/>
              </w:rPr>
              <w:t>- Notice signed and dated by: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 w:rsidRPr="00DB79F6">
              <w:rPr>
                <w:sz w:val="24"/>
                <w:szCs w:val="24"/>
              </w:rPr>
              <w:t>.</w:t>
            </w:r>
          </w:p>
        </w:tc>
      </w:tr>
      <w:tr w:rsidR="00BF4586" w14:paraId="73D99D12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0974D" w14:textId="77777777" w:rsidR="00BF4586" w:rsidRDefault="00BF4586" w:rsidP="00977D34"/>
        </w:tc>
        <w:tc>
          <w:tcPr>
            <w:tcW w:w="7470" w:type="dxa"/>
          </w:tcPr>
          <w:p w14:paraId="44C92693" w14:textId="147F7DB8" w:rsidR="00BF4586" w:rsidRPr="00BF4586" w:rsidRDefault="00BF4586" w:rsidP="00BF4586">
            <w:pPr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5.10 – SONAR emailed to Legislative Reference Library</w:t>
            </w:r>
            <w:r w:rsidRPr="00DB79F6">
              <w:rPr>
                <w:b/>
                <w:bCs/>
                <w:sz w:val="24"/>
                <w:szCs w:val="24"/>
              </w:rPr>
              <w:br/>
              <w:t xml:space="preserve">- LRL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BF4586" w14:paraId="144E334A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EBD1B" w14:textId="77777777" w:rsidR="00BF4586" w:rsidRDefault="00BF4586" w:rsidP="00977D34"/>
        </w:tc>
        <w:tc>
          <w:tcPr>
            <w:tcW w:w="7470" w:type="dxa"/>
          </w:tcPr>
          <w:p w14:paraId="7F199AA2" w14:textId="4F68AAC9" w:rsidR="00BF4586" w:rsidRPr="00BF4586" w:rsidRDefault="00BF4586" w:rsidP="00BF4586">
            <w:pPr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 xml:space="preserve">5.11 – Notice published in the </w:t>
            </w:r>
            <w:r w:rsidRPr="00DB79F6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DB79F6">
              <w:rPr>
                <w:i/>
                <w:iCs/>
                <w:sz w:val="24"/>
                <w:szCs w:val="24"/>
              </w:rPr>
              <w:br/>
            </w:r>
            <w:r w:rsidRPr="00DB79F6">
              <w:rPr>
                <w:sz w:val="24"/>
                <w:szCs w:val="24"/>
              </w:rPr>
              <w:t xml:space="preserve">- </w:t>
            </w:r>
            <w:r w:rsidRPr="00B0461A">
              <w:rPr>
                <w:i/>
                <w:iCs/>
                <w:sz w:val="24"/>
                <w:szCs w:val="24"/>
              </w:rPr>
              <w:t>State Register</w:t>
            </w:r>
            <w:r>
              <w:rPr>
                <w:sz w:val="24"/>
                <w:szCs w:val="24"/>
              </w:rPr>
              <w:t xml:space="preserve"> website</w:t>
            </w:r>
            <w:r w:rsidRPr="00DB79F6">
              <w:rPr>
                <w:b/>
                <w:bCs/>
                <w:sz w:val="24"/>
                <w:szCs w:val="24"/>
              </w:rPr>
              <w:t xml:space="preserve">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BF4586" w14:paraId="6DC64FCF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6CF22" w14:textId="77777777" w:rsidR="00BF4586" w:rsidRDefault="00BF4586" w:rsidP="00977D34"/>
        </w:tc>
        <w:tc>
          <w:tcPr>
            <w:tcW w:w="7470" w:type="dxa"/>
          </w:tcPr>
          <w:p w14:paraId="78F518D3" w14:textId="5682320B" w:rsidR="00BF4586" w:rsidRPr="00BF4586" w:rsidRDefault="00BF4586" w:rsidP="00BF4586">
            <w:pPr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5.12 – Notice sent</w:t>
            </w:r>
            <w:r w:rsidRPr="00DB79F6">
              <w:rPr>
                <w:b/>
                <w:bCs/>
                <w:sz w:val="24"/>
                <w:szCs w:val="24"/>
              </w:rPr>
              <w:br/>
              <w:t xml:space="preserve">- CRT-LIST </w:t>
            </w:r>
            <w:r w:rsidRPr="00DB79F6">
              <w:rPr>
                <w:sz w:val="24"/>
                <w:szCs w:val="24"/>
              </w:rPr>
              <w:t xml:space="preserve">and </w:t>
            </w:r>
            <w:r w:rsidRPr="00DB79F6">
              <w:rPr>
                <w:b/>
                <w:bCs/>
                <w:sz w:val="24"/>
                <w:szCs w:val="24"/>
              </w:rPr>
              <w:t xml:space="preserve">CRT-MLNG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BF4586" w14:paraId="2C443203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CDCA8" w14:textId="77777777" w:rsidR="00BF4586" w:rsidRDefault="00BF4586" w:rsidP="00977D34"/>
        </w:tc>
        <w:tc>
          <w:tcPr>
            <w:tcW w:w="7470" w:type="dxa"/>
          </w:tcPr>
          <w:p w14:paraId="5F99D9C5" w14:textId="1BA163D2" w:rsidR="00BF4586" w:rsidRPr="00DB79F6" w:rsidRDefault="00BF4586" w:rsidP="00BF4586">
            <w:pPr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5.13 – Notice given per Additional Notice Plan</w:t>
            </w:r>
            <w:r w:rsidRPr="00DB79F6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DB79F6">
              <w:rPr>
                <w:sz w:val="24"/>
                <w:szCs w:val="24"/>
              </w:rPr>
              <w:t xml:space="preserve">Actions documented and </w:t>
            </w:r>
            <w:r w:rsidRPr="00DB79F6">
              <w:rPr>
                <w:b/>
                <w:bCs/>
                <w:sz w:val="24"/>
                <w:szCs w:val="24"/>
              </w:rPr>
              <w:t xml:space="preserve">CRT-GNRC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BF4586" w14:paraId="297AE5F5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0123" w14:textId="77777777" w:rsidR="00BF4586" w:rsidRDefault="00BF4586" w:rsidP="00977D34"/>
        </w:tc>
        <w:tc>
          <w:tcPr>
            <w:tcW w:w="7470" w:type="dxa"/>
          </w:tcPr>
          <w:p w14:paraId="7C718150" w14:textId="434729CC" w:rsidR="00BF4586" w:rsidRPr="00DB79F6" w:rsidRDefault="00BF4586" w:rsidP="00BF4586">
            <w:pPr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5.14 – Notice given to Legislators</w:t>
            </w:r>
            <w:r w:rsidRPr="00DB79F6">
              <w:rPr>
                <w:b/>
                <w:bCs/>
                <w:sz w:val="24"/>
                <w:szCs w:val="24"/>
              </w:rPr>
              <w:br/>
              <w:t xml:space="preserve">- LEG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BF4586" w14:paraId="497C8B21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F3015" w14:textId="77777777" w:rsidR="00BF4586" w:rsidRDefault="00BF4586" w:rsidP="00977D34"/>
        </w:tc>
        <w:tc>
          <w:tcPr>
            <w:tcW w:w="7470" w:type="dxa"/>
          </w:tcPr>
          <w:p w14:paraId="05347BC3" w14:textId="2652E063" w:rsidR="00BF4586" w:rsidRPr="00DB79F6" w:rsidRDefault="00BF4586" w:rsidP="00BF4586">
            <w:pPr>
              <w:rPr>
                <w:b/>
                <w:bCs/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5.15 – Other applicable statute or rule requirements met</w:t>
            </w:r>
          </w:p>
        </w:tc>
      </w:tr>
      <w:tr w:rsidR="00BF4586" w14:paraId="083EC5FC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2E1CA" w14:textId="77777777" w:rsidR="00BF4586" w:rsidRDefault="00BF4586" w:rsidP="00977D34"/>
        </w:tc>
        <w:tc>
          <w:tcPr>
            <w:tcW w:w="7470" w:type="dxa"/>
          </w:tcPr>
          <w:p w14:paraId="215D02BD" w14:textId="7456BE3E" w:rsidR="00BF4586" w:rsidRPr="00BF4586" w:rsidRDefault="00BF4586" w:rsidP="00BF4586">
            <w:pPr>
              <w:rPr>
                <w:sz w:val="24"/>
                <w:szCs w:val="24"/>
              </w:rPr>
            </w:pPr>
            <w:r w:rsidRPr="00DB79F6">
              <w:rPr>
                <w:b/>
                <w:bCs/>
                <w:sz w:val="24"/>
                <w:szCs w:val="24"/>
              </w:rPr>
              <w:t>5.16 – Comments tracked; lists maintained</w:t>
            </w:r>
            <w:r w:rsidRPr="00DB79F6">
              <w:rPr>
                <w:b/>
                <w:bCs/>
                <w:sz w:val="24"/>
                <w:szCs w:val="24"/>
              </w:rPr>
              <w:br/>
            </w:r>
            <w:r w:rsidRPr="00DB79F6">
              <w:rPr>
                <w:sz w:val="24"/>
                <w:szCs w:val="24"/>
              </w:rPr>
              <w:t>- comments on the rules, written or oral</w:t>
            </w:r>
            <w:r w:rsidRPr="00DB79F6">
              <w:rPr>
                <w:sz w:val="24"/>
                <w:szCs w:val="24"/>
              </w:rPr>
              <w:br/>
              <w:t>- hearing requests and hearing request withdrawals</w:t>
            </w:r>
            <w:r w:rsidRPr="00DB79F6">
              <w:rPr>
                <w:sz w:val="24"/>
                <w:szCs w:val="24"/>
              </w:rPr>
              <w:br/>
              <w:t>- requests for free copy of the rules</w:t>
            </w:r>
            <w:r w:rsidRPr="00DB79F6">
              <w:rPr>
                <w:sz w:val="24"/>
                <w:szCs w:val="24"/>
              </w:rPr>
              <w:br/>
              <w:t>- requests to be placed on the agency’s rulemaking mailing list</w:t>
            </w:r>
            <w:r w:rsidRPr="00DB79F6">
              <w:rPr>
                <w:sz w:val="24"/>
                <w:szCs w:val="24"/>
              </w:rPr>
              <w:br/>
              <w:t>- requests for notice of filing with the Secretary of State</w:t>
            </w:r>
            <w:r w:rsidRPr="00DB79F6">
              <w:rPr>
                <w:sz w:val="24"/>
                <w:szCs w:val="24"/>
              </w:rPr>
              <w:br/>
              <w:t>- requests for notice of submission to ALJ</w:t>
            </w:r>
            <w:r w:rsidRPr="00DB79F6">
              <w:rPr>
                <w:sz w:val="24"/>
                <w:szCs w:val="24"/>
              </w:rPr>
              <w:br/>
              <w:t xml:space="preserve">- </w:t>
            </w:r>
            <w:r w:rsidRPr="00DB79F6">
              <w:rPr>
                <w:b/>
                <w:bCs/>
                <w:sz w:val="24"/>
                <w:szCs w:val="24"/>
              </w:rPr>
              <w:t xml:space="preserve">COMMENT-TRACKER </w:t>
            </w:r>
            <w:r w:rsidRPr="00DB79F6">
              <w:rPr>
                <w:sz w:val="24"/>
                <w:szCs w:val="24"/>
              </w:rPr>
              <w:t>used</w:t>
            </w:r>
          </w:p>
        </w:tc>
      </w:tr>
      <w:tr w:rsidR="004874D4" w14:paraId="72323F5E" w14:textId="77777777" w:rsidTr="00977D3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EF4F3" w14:textId="77777777" w:rsidR="004874D4" w:rsidRDefault="004874D4" w:rsidP="00977D34"/>
        </w:tc>
        <w:tc>
          <w:tcPr>
            <w:tcW w:w="7470" w:type="dxa"/>
          </w:tcPr>
          <w:p w14:paraId="44F7D1A3" w14:textId="417D53C0" w:rsidR="004874D4" w:rsidRPr="004874D4" w:rsidRDefault="004874D4" w:rsidP="004874D4">
            <w:pPr>
              <w:ind w:left="75"/>
            </w:pPr>
            <w:r w:rsidRPr="00E964FC">
              <w:rPr>
                <w:b/>
                <w:bCs/>
                <w:sz w:val="24"/>
                <w:szCs w:val="24"/>
              </w:rPr>
              <w:t>5.17 – Proceed according to number of hearing requests</w:t>
            </w:r>
            <w:r w:rsidRPr="00E964FC">
              <w:rPr>
                <w:b/>
                <w:bCs/>
                <w:sz w:val="24"/>
                <w:szCs w:val="24"/>
              </w:rPr>
              <w:br/>
              <w:t>- 5.17.3</w:t>
            </w:r>
            <w:r w:rsidRPr="00E964FC">
              <w:rPr>
                <w:sz w:val="24"/>
                <w:szCs w:val="24"/>
              </w:rPr>
              <w:t xml:space="preserve"> - If 25 or more, start over with Notice of Hearing procedures (Chapter 7)</w:t>
            </w:r>
            <w:r w:rsidRPr="00E964FC">
              <w:rPr>
                <w:sz w:val="24"/>
                <w:szCs w:val="24"/>
              </w:rPr>
              <w:br/>
              <w:t xml:space="preserve">- </w:t>
            </w:r>
            <w:r w:rsidRPr="00E964FC">
              <w:rPr>
                <w:b/>
                <w:bCs/>
                <w:sz w:val="24"/>
                <w:szCs w:val="24"/>
              </w:rPr>
              <w:t xml:space="preserve">5.17.4 - </w:t>
            </w:r>
            <w:r w:rsidRPr="00E964FC">
              <w:rPr>
                <w:sz w:val="24"/>
                <w:szCs w:val="24"/>
              </w:rPr>
              <w:t>If less than 25, proceed to Chapter 8 to adopt rules</w:t>
            </w:r>
            <w:r w:rsidRPr="00E964FC">
              <w:rPr>
                <w:sz w:val="24"/>
                <w:szCs w:val="24"/>
              </w:rPr>
              <w:br/>
            </w:r>
            <w:r w:rsidRPr="00E964FC">
              <w:rPr>
                <w:b/>
                <w:bCs/>
                <w:sz w:val="24"/>
                <w:szCs w:val="24"/>
              </w:rPr>
              <w:t xml:space="preserve">- </w:t>
            </w:r>
            <w:r w:rsidRPr="00E964FC">
              <w:rPr>
                <w:sz w:val="24"/>
                <w:szCs w:val="24"/>
              </w:rPr>
              <w:t>Notify agency leadership</w:t>
            </w:r>
            <w:r w:rsidRPr="00E964FC">
              <w:rPr>
                <w:sz w:val="24"/>
                <w:szCs w:val="24"/>
              </w:rPr>
              <w:br/>
              <w:t>- If hearing withdrawals reduced number of hearing requests below 25,</w:t>
            </w:r>
            <w:r>
              <w:rPr>
                <w:sz w:val="24"/>
                <w:szCs w:val="24"/>
              </w:rPr>
              <w:t xml:space="preserve"> </w:t>
            </w:r>
            <w:r w:rsidRPr="00E964FC">
              <w:rPr>
                <w:sz w:val="24"/>
                <w:szCs w:val="24"/>
              </w:rPr>
              <w:t xml:space="preserve">requestors notified. </w:t>
            </w:r>
            <w:r w:rsidRPr="00E964FC">
              <w:rPr>
                <w:b/>
                <w:bCs/>
                <w:sz w:val="24"/>
                <w:szCs w:val="24"/>
              </w:rPr>
              <w:t xml:space="preserve">NTC-HRWD </w:t>
            </w:r>
            <w:r w:rsidRPr="00E964FC">
              <w:rPr>
                <w:sz w:val="24"/>
                <w:szCs w:val="24"/>
              </w:rPr>
              <w:t xml:space="preserve">and </w:t>
            </w:r>
            <w:r w:rsidRPr="00E964FC">
              <w:rPr>
                <w:b/>
                <w:bCs/>
                <w:sz w:val="24"/>
                <w:szCs w:val="24"/>
              </w:rPr>
              <w:t xml:space="preserve">CRT-HRWD </w:t>
            </w:r>
            <w:r w:rsidRPr="00E964FC">
              <w:rPr>
                <w:sz w:val="24"/>
                <w:szCs w:val="24"/>
              </w:rPr>
              <w:t>used.</w:t>
            </w:r>
            <w:r w:rsidRPr="00E964FC">
              <w:rPr>
                <w:sz w:val="24"/>
                <w:szCs w:val="24"/>
              </w:rPr>
              <w:br/>
              <w:t xml:space="preserve">- If fewer than 25 hearing requests (and agency did nothing to obtain     withdrawals), requestors notified. </w:t>
            </w:r>
            <w:r w:rsidRPr="00E964FC">
              <w:rPr>
                <w:b/>
                <w:bCs/>
                <w:sz w:val="24"/>
                <w:szCs w:val="24"/>
              </w:rPr>
              <w:t xml:space="preserve">NTC-NH2 </w:t>
            </w:r>
            <w:r w:rsidRPr="00E964FC">
              <w:rPr>
                <w:sz w:val="24"/>
                <w:szCs w:val="24"/>
              </w:rPr>
              <w:t>used.</w:t>
            </w:r>
          </w:p>
        </w:tc>
      </w:tr>
    </w:tbl>
    <w:p w14:paraId="09ABC68B" w14:textId="7119B881" w:rsidR="00E7358D" w:rsidRPr="00FB3204" w:rsidRDefault="00E7358D" w:rsidP="004874D4"/>
    <w:sectPr w:rsidR="00E7358D" w:rsidRPr="00FB3204" w:rsidSect="001864D5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2F34" w14:textId="77777777" w:rsidR="001864D5" w:rsidRDefault="001864D5" w:rsidP="00D91FF4">
      <w:r>
        <w:separator/>
      </w:r>
    </w:p>
  </w:endnote>
  <w:endnote w:type="continuationSeparator" w:id="0">
    <w:p w14:paraId="6DCF5183" w14:textId="77777777" w:rsidR="001864D5" w:rsidRDefault="001864D5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BE4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7021" w14:textId="77777777" w:rsidR="001864D5" w:rsidRDefault="001864D5" w:rsidP="00D91FF4">
      <w:r>
        <w:separator/>
      </w:r>
    </w:p>
  </w:footnote>
  <w:footnote w:type="continuationSeparator" w:id="0">
    <w:p w14:paraId="2FE8BEE8" w14:textId="77777777" w:rsidR="001864D5" w:rsidRDefault="001864D5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D5"/>
    <w:rsid w:val="00002DEC"/>
    <w:rsid w:val="000065AC"/>
    <w:rsid w:val="00006A0A"/>
    <w:rsid w:val="00021F9D"/>
    <w:rsid w:val="00040C79"/>
    <w:rsid w:val="00060464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864D5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3D86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874D4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6CF8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77D3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BF4586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7F29CB1"/>
  <w15:chartTrackingRefBased/>
  <w15:docId w15:val="{5DC8C7F7-96BD-4321-BD91-7D3E9F50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864D5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64D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E9E54-28B9-4757-BC6B-9C5ED2CFD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AA6AE-F2C5-4711-9424-1AB01C11C4D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f58d23-bce5-4615-ba2d-d3abc19c044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22AA7-93EC-41A7-938A-CD689FE51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459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Manual Checklist for Chapter 5 – Notice of Intent to Adopt Rules without a Public Hearing</vt:lpstr>
    </vt:vector>
  </TitlesOfParts>
  <Company>State of MN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5 – Notice of Intent to Adopt Rules without a Public Hearing</dc:title>
  <dc:subject>Rulemaking manual</dc:subject>
  <dc:creator>MDH Legal</dc:creator>
  <cp:keywords/>
  <dc:description/>
  <cp:lastModifiedBy>Barker, Andi (She/Her/Hers) (DOT)</cp:lastModifiedBy>
  <cp:revision>5</cp:revision>
  <dcterms:created xsi:type="dcterms:W3CDTF">2024-09-19T20:08:00Z</dcterms:created>
  <dcterms:modified xsi:type="dcterms:W3CDTF">2025-08-15T19:29:00Z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