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6A3584" w:rsidP="00B61327">
      <w:pPr>
        <w:pStyle w:val="LOGO"/>
      </w:pPr>
      <w:r w:rsidRPr="00B61327">
        <w:drawing>
          <wp:inline distT="0" distB="0" distL="0" distR="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rsidR="00376190" w:rsidRPr="00376190" w:rsidRDefault="00BA3375" w:rsidP="00F9276F">
      <w:pPr>
        <w:pStyle w:val="Heading1"/>
      </w:pPr>
      <w:bookmarkStart w:id="0" w:name="_GoBack"/>
      <w:r>
        <w:t xml:space="preserve">Kano Model </w:t>
      </w:r>
      <w:r w:rsidR="00692C7A">
        <w:t>w</w:t>
      </w:r>
      <w:r>
        <w:t>orksheet</w:t>
      </w:r>
    </w:p>
    <w:bookmarkEnd w:id="0"/>
    <w:p w:rsidR="00BA3375" w:rsidRDefault="00BA3375" w:rsidP="00BA3375">
      <w:r>
        <w:t>The Kano Model is a tool that helps prioritize customer requirements by grouping them into three categories: Expected/Must Haves, Nice to Have/Normal, and Exciters/Delighters.</w:t>
      </w:r>
    </w:p>
    <w:p w:rsidR="00BA3375" w:rsidRDefault="00BA3375" w:rsidP="00BA3375">
      <w:pPr>
        <w:pStyle w:val="ListBullet"/>
      </w:pPr>
      <w:r w:rsidRPr="00BA3375">
        <w:rPr>
          <w:b/>
        </w:rPr>
        <w:t>Expected/</w:t>
      </w:r>
      <w:r w:rsidR="00692C7A">
        <w:rPr>
          <w:b/>
        </w:rPr>
        <w:t>m</w:t>
      </w:r>
      <w:r w:rsidRPr="00BA3375">
        <w:rPr>
          <w:b/>
        </w:rPr>
        <w:t xml:space="preserve">ust </w:t>
      </w:r>
      <w:r w:rsidR="00692C7A">
        <w:rPr>
          <w:b/>
        </w:rPr>
        <w:t>h</w:t>
      </w:r>
      <w:r w:rsidRPr="00BA3375">
        <w:rPr>
          <w:b/>
        </w:rPr>
        <w:t>aves</w:t>
      </w:r>
      <w:r>
        <w:t>: These are the basic customer requirements. Customers expect them without asking for them. Presence of them will not satisfy a customer but absence will dissatisfy.</w:t>
      </w:r>
    </w:p>
    <w:p w:rsidR="00BA3375" w:rsidRDefault="00BA3375" w:rsidP="00BA3375">
      <w:pPr>
        <w:pStyle w:val="ListBullet"/>
      </w:pPr>
      <w:r w:rsidRPr="00BA3375">
        <w:rPr>
          <w:b/>
        </w:rPr>
        <w:t xml:space="preserve">Nice to </w:t>
      </w:r>
      <w:r w:rsidR="00692C7A">
        <w:rPr>
          <w:b/>
        </w:rPr>
        <w:t>h</w:t>
      </w:r>
      <w:r w:rsidRPr="00BA3375">
        <w:rPr>
          <w:b/>
        </w:rPr>
        <w:t>ave/</w:t>
      </w:r>
      <w:r w:rsidR="00692C7A">
        <w:rPr>
          <w:b/>
        </w:rPr>
        <w:t>n</w:t>
      </w:r>
      <w:r w:rsidRPr="00BA3375">
        <w:rPr>
          <w:b/>
        </w:rPr>
        <w:t>ormal</w:t>
      </w:r>
      <w:r>
        <w:t>: These are the requirements customers often ask for and specify. More is better. Customer satisfaction can increase or decrease depending on their presence or absence.</w:t>
      </w:r>
    </w:p>
    <w:p w:rsidR="00BA3375" w:rsidRDefault="00BA3375" w:rsidP="00BA3375">
      <w:pPr>
        <w:pStyle w:val="ListBullet"/>
      </w:pPr>
      <w:r w:rsidRPr="00BA3375">
        <w:rPr>
          <w:b/>
        </w:rPr>
        <w:t>Exciters/</w:t>
      </w:r>
      <w:r w:rsidR="00692C7A">
        <w:rPr>
          <w:b/>
        </w:rPr>
        <w:t>d</w:t>
      </w:r>
      <w:r w:rsidRPr="00BA3375">
        <w:rPr>
          <w:b/>
        </w:rPr>
        <w:t>elighters</w:t>
      </w:r>
      <w:r>
        <w:t>: These are unspoken and unexpected, often innovative, qualities or attributes. Their absence does not decrease satisfaction, but their presence can increase it.</w:t>
      </w:r>
    </w:p>
    <w:p w:rsidR="00BA3375" w:rsidRDefault="00BA3375" w:rsidP="00BA3375">
      <w:r>
        <w:t>It is important to review customer requirements and their categorization. Over time, “delighters” become “normal” become “must haves”. Customer requirements change.</w:t>
      </w:r>
    </w:p>
    <w:p w:rsidR="00E22A7A" w:rsidRPr="00E22A7A" w:rsidRDefault="00BA3375" w:rsidP="00BA3375">
      <w:r w:rsidRPr="00BA3375">
        <w:rPr>
          <w:b/>
        </w:rPr>
        <w:t>Instructions</w:t>
      </w:r>
      <w:r>
        <w:t>: Take your identified customer requirements and put them into the appropriate category in the table below. You may find you need to go back to your customer(s) to determine the appropriate category. Once you have the customer requirements grouped in the categories, prioritize from left (expected/must haves) to right (exciters/delighters).</w:t>
      </w:r>
    </w:p>
    <w:tbl>
      <w:tblPr>
        <w:tblStyle w:val="TableGrid11"/>
        <w:tblW w:w="5000" w:type="pct"/>
        <w:tblLook w:val="04A0" w:firstRow="1" w:lastRow="0" w:firstColumn="1" w:lastColumn="0" w:noHBand="0" w:noVBand="1"/>
      </w:tblPr>
      <w:tblGrid>
        <w:gridCol w:w="3339"/>
        <w:gridCol w:w="3258"/>
        <w:gridCol w:w="3473"/>
      </w:tblGrid>
      <w:tr w:rsidR="00BA3375" w:rsidTr="00BA3375">
        <w:trPr>
          <w:cnfStyle w:val="100000000000" w:firstRow="1" w:lastRow="0" w:firstColumn="0" w:lastColumn="0" w:oddVBand="0" w:evenVBand="0" w:oddHBand="0" w:evenHBand="0" w:firstRowFirstColumn="0" w:firstRowLastColumn="0" w:lastRowFirstColumn="0" w:lastRowLastColumn="0"/>
          <w:cantSplit/>
          <w:tblHeader/>
        </w:trPr>
        <w:tc>
          <w:tcPr>
            <w:tcW w:w="4556" w:type="dxa"/>
            <w:vAlign w:val="bottom"/>
          </w:tcPr>
          <w:p w:rsidR="00BA3375" w:rsidRDefault="00BA3375" w:rsidP="00692C7A">
            <w:r>
              <w:t>Expected/</w:t>
            </w:r>
            <w:r w:rsidR="00692C7A">
              <w:t>m</w:t>
            </w:r>
            <w:r>
              <w:t xml:space="preserve">ust </w:t>
            </w:r>
            <w:r w:rsidR="00692C7A">
              <w:t>h</w:t>
            </w:r>
            <w:r>
              <w:t>aves</w:t>
            </w:r>
          </w:p>
        </w:tc>
        <w:tc>
          <w:tcPr>
            <w:tcW w:w="4557" w:type="dxa"/>
            <w:vAlign w:val="bottom"/>
          </w:tcPr>
          <w:p w:rsidR="00BA3375" w:rsidRDefault="00BA3375" w:rsidP="00692C7A">
            <w:r>
              <w:t xml:space="preserve">Nice to </w:t>
            </w:r>
            <w:r w:rsidR="00692C7A">
              <w:t>h</w:t>
            </w:r>
            <w:r>
              <w:t>ave/</w:t>
            </w:r>
            <w:r w:rsidR="00692C7A">
              <w:t>n</w:t>
            </w:r>
            <w:r>
              <w:t>ormal</w:t>
            </w:r>
          </w:p>
        </w:tc>
        <w:tc>
          <w:tcPr>
            <w:tcW w:w="4557" w:type="dxa"/>
            <w:vAlign w:val="bottom"/>
          </w:tcPr>
          <w:p w:rsidR="00BA3375" w:rsidRDefault="00BA3375" w:rsidP="00692C7A">
            <w:r>
              <w:t>Exciters/</w:t>
            </w:r>
            <w:r w:rsidR="00692C7A">
              <w:t>d</w:t>
            </w:r>
            <w:r>
              <w:t>elighters</w:t>
            </w:r>
          </w:p>
        </w:tc>
      </w:tr>
      <w:tr w:rsidR="00BA3375" w:rsidTr="00BA3375">
        <w:trPr>
          <w:cnfStyle w:val="000000100000" w:firstRow="0" w:lastRow="0" w:firstColumn="0" w:lastColumn="0" w:oddVBand="0" w:evenVBand="0" w:oddHBand="1" w:evenHBand="0" w:firstRowFirstColumn="0" w:firstRowLastColumn="0" w:lastRowFirstColumn="0" w:lastRowLastColumn="0"/>
          <w:cantSplit/>
        </w:trPr>
        <w:tc>
          <w:tcPr>
            <w:tcW w:w="4556" w:type="dxa"/>
          </w:tcPr>
          <w:p w:rsidR="00BA3375" w:rsidRDefault="00BA3375" w:rsidP="00F9276F"/>
        </w:tc>
        <w:tc>
          <w:tcPr>
            <w:tcW w:w="4557" w:type="dxa"/>
          </w:tcPr>
          <w:p w:rsidR="00BA3375" w:rsidRDefault="00BA3375" w:rsidP="00F9276F"/>
        </w:tc>
        <w:tc>
          <w:tcPr>
            <w:tcW w:w="4557" w:type="dxa"/>
          </w:tcPr>
          <w:p w:rsidR="00BA3375" w:rsidRDefault="00BA3375" w:rsidP="00F9276F"/>
        </w:tc>
      </w:tr>
      <w:tr w:rsidR="00BA3375" w:rsidTr="00BA3375">
        <w:trPr>
          <w:cnfStyle w:val="000000010000" w:firstRow="0" w:lastRow="0" w:firstColumn="0" w:lastColumn="0" w:oddVBand="0" w:evenVBand="0" w:oddHBand="0" w:evenHBand="1" w:firstRowFirstColumn="0" w:firstRowLastColumn="0" w:lastRowFirstColumn="0" w:lastRowLastColumn="0"/>
          <w:cantSplit/>
        </w:trPr>
        <w:tc>
          <w:tcPr>
            <w:tcW w:w="4556" w:type="dxa"/>
          </w:tcPr>
          <w:p w:rsidR="00BA3375" w:rsidRDefault="00BA3375" w:rsidP="00F9276F"/>
        </w:tc>
        <w:tc>
          <w:tcPr>
            <w:tcW w:w="4557" w:type="dxa"/>
          </w:tcPr>
          <w:p w:rsidR="00BA3375" w:rsidRDefault="00BA3375" w:rsidP="00F9276F"/>
        </w:tc>
        <w:tc>
          <w:tcPr>
            <w:tcW w:w="4557" w:type="dxa"/>
          </w:tcPr>
          <w:p w:rsidR="00BA3375" w:rsidRDefault="00BA3375" w:rsidP="00F9276F"/>
        </w:tc>
      </w:tr>
      <w:tr w:rsidR="00BA3375" w:rsidTr="00BA3375">
        <w:trPr>
          <w:cnfStyle w:val="000000100000" w:firstRow="0" w:lastRow="0" w:firstColumn="0" w:lastColumn="0" w:oddVBand="0" w:evenVBand="0" w:oddHBand="1" w:evenHBand="0" w:firstRowFirstColumn="0" w:firstRowLastColumn="0" w:lastRowFirstColumn="0" w:lastRowLastColumn="0"/>
          <w:cantSplit/>
        </w:trPr>
        <w:tc>
          <w:tcPr>
            <w:tcW w:w="4556" w:type="dxa"/>
          </w:tcPr>
          <w:p w:rsidR="00BA3375" w:rsidRDefault="00BA3375" w:rsidP="00F9276F"/>
        </w:tc>
        <w:tc>
          <w:tcPr>
            <w:tcW w:w="4557" w:type="dxa"/>
          </w:tcPr>
          <w:p w:rsidR="00BA3375" w:rsidRDefault="00BA3375" w:rsidP="00F9276F"/>
        </w:tc>
        <w:tc>
          <w:tcPr>
            <w:tcW w:w="4557" w:type="dxa"/>
          </w:tcPr>
          <w:p w:rsidR="00BA3375" w:rsidRDefault="00BA3375" w:rsidP="00F9276F"/>
        </w:tc>
      </w:tr>
      <w:tr w:rsidR="00BA3375" w:rsidTr="00BA3375">
        <w:trPr>
          <w:cnfStyle w:val="000000010000" w:firstRow="0" w:lastRow="0" w:firstColumn="0" w:lastColumn="0" w:oddVBand="0" w:evenVBand="0" w:oddHBand="0" w:evenHBand="1" w:firstRowFirstColumn="0" w:firstRowLastColumn="0" w:lastRowFirstColumn="0" w:lastRowLastColumn="0"/>
          <w:cantSplit/>
        </w:trPr>
        <w:tc>
          <w:tcPr>
            <w:tcW w:w="4556" w:type="dxa"/>
          </w:tcPr>
          <w:p w:rsidR="00BA3375" w:rsidRDefault="00BA3375" w:rsidP="00F9276F"/>
        </w:tc>
        <w:tc>
          <w:tcPr>
            <w:tcW w:w="4557" w:type="dxa"/>
          </w:tcPr>
          <w:p w:rsidR="00BA3375" w:rsidRDefault="00BA3375" w:rsidP="00F9276F"/>
        </w:tc>
        <w:tc>
          <w:tcPr>
            <w:tcW w:w="4557" w:type="dxa"/>
          </w:tcPr>
          <w:p w:rsidR="00BA3375" w:rsidRDefault="00BA3375" w:rsidP="00F9276F"/>
        </w:tc>
      </w:tr>
      <w:tr w:rsidR="00BA3375" w:rsidTr="00BA3375">
        <w:trPr>
          <w:cnfStyle w:val="000000100000" w:firstRow="0" w:lastRow="0" w:firstColumn="0" w:lastColumn="0" w:oddVBand="0" w:evenVBand="0" w:oddHBand="1" w:evenHBand="0" w:firstRowFirstColumn="0" w:firstRowLastColumn="0" w:lastRowFirstColumn="0" w:lastRowLastColumn="0"/>
          <w:cantSplit/>
        </w:trPr>
        <w:tc>
          <w:tcPr>
            <w:tcW w:w="4556" w:type="dxa"/>
          </w:tcPr>
          <w:p w:rsidR="00BA3375" w:rsidRDefault="00BA3375" w:rsidP="00F9276F"/>
        </w:tc>
        <w:tc>
          <w:tcPr>
            <w:tcW w:w="4557" w:type="dxa"/>
          </w:tcPr>
          <w:p w:rsidR="00BA3375" w:rsidRDefault="00BA3375" w:rsidP="00F9276F"/>
        </w:tc>
        <w:tc>
          <w:tcPr>
            <w:tcW w:w="4557" w:type="dxa"/>
          </w:tcPr>
          <w:p w:rsidR="00BA3375" w:rsidRDefault="00BA3375" w:rsidP="00F9276F"/>
        </w:tc>
      </w:tr>
      <w:tr w:rsidR="00BA3375" w:rsidTr="00BA3375">
        <w:trPr>
          <w:cnfStyle w:val="000000010000" w:firstRow="0" w:lastRow="0" w:firstColumn="0" w:lastColumn="0" w:oddVBand="0" w:evenVBand="0" w:oddHBand="0" w:evenHBand="1" w:firstRowFirstColumn="0" w:firstRowLastColumn="0" w:lastRowFirstColumn="0" w:lastRowLastColumn="0"/>
          <w:cantSplit/>
        </w:trPr>
        <w:tc>
          <w:tcPr>
            <w:tcW w:w="4556" w:type="dxa"/>
          </w:tcPr>
          <w:p w:rsidR="00BA3375" w:rsidRDefault="00BA3375" w:rsidP="00F9276F"/>
        </w:tc>
        <w:tc>
          <w:tcPr>
            <w:tcW w:w="4557" w:type="dxa"/>
          </w:tcPr>
          <w:p w:rsidR="00BA3375" w:rsidRDefault="00BA3375" w:rsidP="00F9276F"/>
        </w:tc>
        <w:tc>
          <w:tcPr>
            <w:tcW w:w="4557" w:type="dxa"/>
          </w:tcPr>
          <w:p w:rsidR="00BA3375" w:rsidRDefault="00BA3375" w:rsidP="00F9276F"/>
        </w:tc>
      </w:tr>
      <w:tr w:rsidR="00BA3375" w:rsidTr="00BA3375">
        <w:trPr>
          <w:cnfStyle w:val="000000100000" w:firstRow="0" w:lastRow="0" w:firstColumn="0" w:lastColumn="0" w:oddVBand="0" w:evenVBand="0" w:oddHBand="1" w:evenHBand="0" w:firstRowFirstColumn="0" w:firstRowLastColumn="0" w:lastRowFirstColumn="0" w:lastRowLastColumn="0"/>
          <w:cantSplit/>
        </w:trPr>
        <w:tc>
          <w:tcPr>
            <w:tcW w:w="4556" w:type="dxa"/>
          </w:tcPr>
          <w:p w:rsidR="00BA3375" w:rsidRDefault="00BA3375" w:rsidP="00F9276F"/>
        </w:tc>
        <w:tc>
          <w:tcPr>
            <w:tcW w:w="4557" w:type="dxa"/>
          </w:tcPr>
          <w:p w:rsidR="00BA3375" w:rsidRDefault="00BA3375" w:rsidP="00F9276F"/>
        </w:tc>
        <w:tc>
          <w:tcPr>
            <w:tcW w:w="4557" w:type="dxa"/>
          </w:tcPr>
          <w:p w:rsidR="00BA3375" w:rsidRDefault="00BA3375" w:rsidP="00F9276F"/>
        </w:tc>
      </w:tr>
    </w:tbl>
    <w:p w:rsidR="00607162" w:rsidRPr="00DA20CB" w:rsidRDefault="00323DEE" w:rsidP="00607162">
      <w:pPr>
        <w:pStyle w:val="AddressBlockDate"/>
      </w:pPr>
      <w:r w:rsidRPr="00DA20CB">
        <w:t>Minnesota Department of Health</w:t>
      </w:r>
      <w:r w:rsidR="00F9276F">
        <w:br/>
        <w:t>Center for Public Health Practice</w:t>
      </w:r>
      <w:r w:rsidRPr="00DA20CB">
        <w:br/>
      </w:r>
      <w:r w:rsidR="00607162" w:rsidRPr="00DA20CB">
        <w:t xml:space="preserve">PO Box </w:t>
      </w:r>
      <w:r w:rsidR="00F9276F">
        <w:t xml:space="preserve">64975  </w:t>
      </w:r>
      <w:r w:rsidR="00607162" w:rsidRPr="00DA20CB">
        <w:t>St. Paul, MN</w:t>
      </w:r>
      <w:r w:rsidR="00F9276F">
        <w:t xml:space="preserve"> 55164-0975</w:t>
      </w:r>
      <w:r w:rsidR="00607162" w:rsidRPr="00DA20CB">
        <w:br/>
      </w:r>
      <w:r w:rsidR="00F9276F">
        <w:t xml:space="preserve">651-201-3880  </w:t>
      </w:r>
      <w:hyperlink r:id="rId9" w:history="1">
        <w:r w:rsidR="00F9276F" w:rsidRPr="00F9276F">
          <w:t>health.ophp@state.mn.us</w:t>
        </w:r>
      </w:hyperlink>
      <w:r w:rsidR="00F9276F">
        <w:t xml:space="preserve"> </w:t>
      </w:r>
      <w:r w:rsidR="00607162" w:rsidRPr="00DA20CB">
        <w:br/>
      </w:r>
      <w:hyperlink r:id="rId10" w:tooltip="MDH website" w:history="1">
        <w:r w:rsidR="00607162" w:rsidRPr="00DA20CB">
          <w:t>www.health.state.mn.us</w:t>
        </w:r>
      </w:hyperlink>
      <w:r w:rsidR="00F9276F">
        <w:t xml:space="preserve"> </w:t>
      </w:r>
    </w:p>
    <w:p w:rsidR="00607162" w:rsidRPr="00822457" w:rsidRDefault="00F9276F" w:rsidP="00822457">
      <w:pPr>
        <w:pStyle w:val="AddressBlockDate"/>
      </w:pPr>
      <w:r>
        <w:t>Revised December 2017</w:t>
      </w:r>
    </w:p>
    <w:p w:rsidR="00CC4911" w:rsidRPr="00173894" w:rsidRDefault="00607162" w:rsidP="00E57BE7">
      <w:pPr>
        <w:pStyle w:val="Toobtainthisinfo"/>
      </w:pPr>
      <w:r w:rsidRPr="00B95FAA">
        <w:t xml:space="preserve">To obtain this information in a different format, call: </w:t>
      </w:r>
      <w:r w:rsidR="00F9276F">
        <w:t>651-201-3880</w:t>
      </w:r>
      <w:r w:rsidRPr="00B95FAA">
        <w:t>. Printed on recycled paper.</w:t>
      </w:r>
    </w:p>
    <w:sectPr w:rsidR="00CC4911" w:rsidRPr="00173894" w:rsidSect="00BA3375">
      <w:headerReference w:type="default" r:id="rId11"/>
      <w:footerReference w:type="default" r:id="rId12"/>
      <w:type w:val="continuous"/>
      <w:pgSz w:w="12240" w:h="15840"/>
      <w:pgMar w:top="1080" w:right="1080" w:bottom="1080" w:left="108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76F" w:rsidRDefault="00F9276F" w:rsidP="00F9276F">
      <w:r>
        <w:separator/>
      </w:r>
    </w:p>
  </w:endnote>
  <w:endnote w:type="continuationSeparator" w:id="0">
    <w:p w:rsidR="00F9276F" w:rsidRDefault="00F9276F" w:rsidP="00F9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sidP="00F9276F">
        <w:r w:rsidRPr="000F7548">
          <w:fldChar w:fldCharType="begin"/>
        </w:r>
        <w:r w:rsidRPr="000F7548">
          <w:instrText xml:space="preserve"> PAGE   \* MERGEFORMAT </w:instrText>
        </w:r>
        <w:r w:rsidRPr="000F7548">
          <w:fldChar w:fldCharType="separate"/>
        </w:r>
        <w:r w:rsidR="00BA3375">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76F" w:rsidRDefault="00F9276F" w:rsidP="00F9276F">
      <w:r>
        <w:separator/>
      </w:r>
    </w:p>
  </w:footnote>
  <w:footnote w:type="continuationSeparator" w:id="0">
    <w:p w:rsidR="00F9276F" w:rsidRDefault="00F9276F" w:rsidP="00F92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BA3375" w:rsidP="00F9276F">
    <w:pPr>
      <w:pStyle w:val="Header"/>
    </w:pPr>
    <w:r>
      <w:t>Kano Model</w:t>
    </w:r>
    <w:r w:rsidR="00F9276F">
      <w:t xml:space="preserve"> Worksheet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6F"/>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2C7A"/>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0F8"/>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0B4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375"/>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2A7A"/>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76F"/>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6F39B3"/>
  <w15:docId w15:val="{EBE53A41-AF35-425B-9C14-47F9C138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9276F"/>
    <w:pPr>
      <w:suppressAutoHyphens/>
      <w:spacing w:before="120" w:after="120"/>
    </w:pPr>
  </w:style>
  <w:style w:type="paragraph" w:styleId="Heading1">
    <w:name w:val="heading 1"/>
    <w:aliases w:val="H1 Title"/>
    <w:basedOn w:val="Normal"/>
    <w:next w:val="Normal"/>
    <w:link w:val="Heading1Char"/>
    <w:uiPriority w:val="4"/>
    <w:qFormat/>
    <w:rsid w:val="00F9276F"/>
    <w:pPr>
      <w:keepNext/>
      <w:keepLines/>
      <w:spacing w:before="48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F9276F"/>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Clarification">
    <w:name w:val="Clarification"/>
    <w:basedOn w:val="Normal"/>
    <w:link w:val="ClarificationChar"/>
    <w:uiPriority w:val="1"/>
    <w:qFormat/>
    <w:rsid w:val="00F9276F"/>
    <w:pPr>
      <w:jc w:val="center"/>
    </w:pPr>
    <w:rPr>
      <w:rFonts w:eastAsia="Times New Roman" w:cs="Times New Roman"/>
      <w:b/>
      <w:i/>
      <w:sz w:val="19"/>
      <w:szCs w:val="19"/>
    </w:rPr>
  </w:style>
  <w:style w:type="character" w:customStyle="1" w:styleId="ClarificationChar">
    <w:name w:val="Clarification Char"/>
    <w:basedOn w:val="DefaultParagraphFont"/>
    <w:link w:val="Clarification"/>
    <w:uiPriority w:val="1"/>
    <w:rsid w:val="00F9276F"/>
    <w:rPr>
      <w:rFonts w:eastAsia="Times New Roman" w:cs="Times New Roman"/>
      <w:b/>
      <w: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alth.state.mn.us/" TargetMode="External"/><Relationship Id="rId4" Type="http://schemas.openxmlformats.org/officeDocument/2006/relationships/settings" Target="settings.xml"/><Relationship Id="rId9" Type="http://schemas.openxmlformats.org/officeDocument/2006/relationships/hyperlink" Target="mailto:health.ophp@state.mn.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lea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3C509-6990-421D-8AFD-70B6FF1E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21</TotalTime>
  <Pages>1</Pages>
  <Words>222</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Kano Model Worksheet</vt:lpstr>
    </vt:vector>
  </TitlesOfParts>
  <Company>Minnesota Department of Health</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Kano Model Worksheet</dc:title>
  <dc:subject>Kano Model worksheet</dc:subject>
  <dc:creator>Center for Public Health Practice - Minnesota Dept. of Health</dc:creator>
  <cp:keywords/>
  <dc:description/>
  <cp:lastModifiedBy>HawleyMarch, Allison (MDH)</cp:lastModifiedBy>
  <cp:revision>5</cp:revision>
  <cp:lastPrinted>2016-12-14T18:03:00Z</cp:lastPrinted>
  <dcterms:created xsi:type="dcterms:W3CDTF">2017-12-29T15:34:00Z</dcterms:created>
  <dcterms:modified xsi:type="dcterms:W3CDTF">2019-10-30T20:47:00Z</dcterms:modified>
</cp:coreProperties>
</file>