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376190" w:rsidRPr="00376190" w:rsidRDefault="00F9276F" w:rsidP="00F9276F">
      <w:pPr>
        <w:pStyle w:val="Heading1"/>
      </w:pPr>
      <w:bookmarkStart w:id="0" w:name="_GoBack"/>
      <w:r w:rsidRPr="00F9276F">
        <w:t>Customer</w:t>
      </w:r>
      <w:r>
        <w:t xml:space="preserve"> </w:t>
      </w:r>
      <w:r w:rsidR="00691284">
        <w:t>i</w:t>
      </w:r>
      <w:r>
        <w:t xml:space="preserve">dentification </w:t>
      </w:r>
      <w:r w:rsidR="00691284">
        <w:t>w</w:t>
      </w:r>
      <w:r>
        <w:t>orksheet</w:t>
      </w:r>
    </w:p>
    <w:bookmarkEnd w:id="0"/>
    <w:p w:rsidR="00607162" w:rsidRDefault="00F9276F" w:rsidP="00F9276F">
      <w:pPr>
        <w:pStyle w:val="Subtitle"/>
        <w:rPr>
          <w:rStyle w:val="MakeLight"/>
        </w:rPr>
      </w:pPr>
      <w:r>
        <w:rPr>
          <w:rStyle w:val="MakeLight"/>
        </w:rPr>
        <w:t>quality Improvement is about Meeting Customer Needs</w:t>
      </w:r>
    </w:p>
    <w:p w:rsidR="00E22A7A" w:rsidRDefault="00E22A7A" w:rsidP="00E22A7A">
      <w:r w:rsidRPr="00E22A7A">
        <w:t>Customers are the reason for our work. Meeting or exceeding customer needs and expectations requires priority attention and continuous improvement. Customers can be internal (inside your organization) or external. The goal is to be able to measure your success in terms of meeting the needs and wants of the customer.</w:t>
      </w:r>
    </w:p>
    <w:p w:rsidR="00E22A7A" w:rsidRDefault="00E22A7A" w:rsidP="00542C9B">
      <w:pPr>
        <w:pStyle w:val="ListBullet"/>
      </w:pPr>
      <w:r w:rsidRPr="00E22A7A">
        <w:rPr>
          <w:b/>
        </w:rPr>
        <w:t>Output</w:t>
      </w:r>
      <w:r>
        <w:t>: What services/products do you provide? What do you do?</w:t>
      </w:r>
    </w:p>
    <w:p w:rsidR="00E22A7A" w:rsidRDefault="00E22A7A" w:rsidP="002C17BD">
      <w:pPr>
        <w:pStyle w:val="ListBullet"/>
      </w:pPr>
      <w:r w:rsidRPr="00E22A7A">
        <w:rPr>
          <w:b/>
        </w:rPr>
        <w:t>Customer</w:t>
      </w:r>
      <w:r>
        <w:t>: Who is the direct recipient/user of your services/products? (Tip: Can your customers answer this question: “Overall, how satisfied were y</w:t>
      </w:r>
      <w:r w:rsidR="00123811">
        <w:t>ou with the service/product you</w:t>
      </w:r>
      <w:r>
        <w:t xml:space="preserve"> received?” If not, they may be a stakeholder and not a customer.)</w:t>
      </w:r>
    </w:p>
    <w:p w:rsidR="00E22A7A" w:rsidRDefault="00E22A7A" w:rsidP="003F3693">
      <w:pPr>
        <w:pStyle w:val="ListBullet"/>
      </w:pPr>
      <w:r w:rsidRPr="00E22A7A">
        <w:rPr>
          <w:b/>
        </w:rPr>
        <w:t xml:space="preserve">Customer </w:t>
      </w:r>
      <w:r w:rsidR="00691284">
        <w:rPr>
          <w:b/>
        </w:rPr>
        <w:t>n</w:t>
      </w:r>
      <w:r w:rsidRPr="00E22A7A">
        <w:rPr>
          <w:b/>
        </w:rPr>
        <w:t xml:space="preserve">eeds and </w:t>
      </w:r>
      <w:r w:rsidR="00691284">
        <w:rPr>
          <w:b/>
        </w:rPr>
        <w:t>w</w:t>
      </w:r>
      <w:r w:rsidRPr="00E22A7A">
        <w:rPr>
          <w:b/>
        </w:rPr>
        <w:t>ants</w:t>
      </w:r>
      <w:r>
        <w:t>: What do your customers ultimately need from your service/product? What do they want? (What are their criteria for being satisfied with this service/product?)</w:t>
      </w:r>
    </w:p>
    <w:p w:rsidR="00E22A7A" w:rsidRPr="00E22A7A" w:rsidRDefault="00E22A7A" w:rsidP="00444682">
      <w:pPr>
        <w:pStyle w:val="ListBullet"/>
      </w:pPr>
      <w:r w:rsidRPr="00E22A7A">
        <w:rPr>
          <w:b/>
        </w:rPr>
        <w:t xml:space="preserve">Data and </w:t>
      </w:r>
      <w:r w:rsidR="00691284">
        <w:rPr>
          <w:b/>
        </w:rPr>
        <w:t>m</w:t>
      </w:r>
      <w:r w:rsidRPr="00E22A7A">
        <w:rPr>
          <w:b/>
        </w:rPr>
        <w:t>easures</w:t>
      </w:r>
      <w:r>
        <w:t>: How do/would you know if you are successful in meeting your customers’ needs and wants?</w:t>
      </w:r>
    </w:p>
    <w:tbl>
      <w:tblPr>
        <w:tblStyle w:val="TableGrid11"/>
        <w:tblW w:w="0" w:type="auto"/>
        <w:tblLook w:val="04A0" w:firstRow="1" w:lastRow="0" w:firstColumn="1" w:lastColumn="0" w:noHBand="0" w:noVBand="1"/>
      </w:tblPr>
      <w:tblGrid>
        <w:gridCol w:w="2157"/>
        <w:gridCol w:w="2158"/>
        <w:gridCol w:w="4677"/>
        <w:gridCol w:w="4678"/>
      </w:tblGrid>
      <w:tr w:rsidR="00E22A7A" w:rsidTr="00E22A7A">
        <w:trPr>
          <w:cnfStyle w:val="100000000000" w:firstRow="1" w:lastRow="0" w:firstColumn="0" w:lastColumn="0" w:oddVBand="0" w:evenVBand="0" w:oddHBand="0" w:evenHBand="0" w:firstRowFirstColumn="0" w:firstRowLastColumn="0" w:lastRowFirstColumn="0" w:lastRowLastColumn="0"/>
          <w:cantSplit/>
          <w:tblHeader/>
        </w:trPr>
        <w:tc>
          <w:tcPr>
            <w:tcW w:w="2157" w:type="dxa"/>
            <w:vAlign w:val="bottom"/>
          </w:tcPr>
          <w:p w:rsidR="00F9276F" w:rsidRDefault="00F9276F" w:rsidP="00E22A7A">
            <w:r>
              <w:t>Output</w:t>
            </w:r>
          </w:p>
        </w:tc>
        <w:tc>
          <w:tcPr>
            <w:tcW w:w="2158" w:type="dxa"/>
            <w:vAlign w:val="bottom"/>
          </w:tcPr>
          <w:p w:rsidR="00F9276F" w:rsidRDefault="00F9276F" w:rsidP="00E22A7A">
            <w:r>
              <w:t>Customer</w:t>
            </w:r>
          </w:p>
        </w:tc>
        <w:tc>
          <w:tcPr>
            <w:tcW w:w="4677" w:type="dxa"/>
            <w:vAlign w:val="bottom"/>
          </w:tcPr>
          <w:p w:rsidR="00F9276F" w:rsidRDefault="00F9276F" w:rsidP="00691284">
            <w:r>
              <w:t xml:space="preserve">Customer </w:t>
            </w:r>
            <w:r w:rsidR="00691284">
              <w:t>n</w:t>
            </w:r>
            <w:r>
              <w:t xml:space="preserve">eeds and </w:t>
            </w:r>
            <w:r w:rsidR="00691284">
              <w:t>w</w:t>
            </w:r>
            <w:r>
              <w:t>ants</w:t>
            </w:r>
          </w:p>
        </w:tc>
        <w:tc>
          <w:tcPr>
            <w:tcW w:w="4678" w:type="dxa"/>
            <w:vAlign w:val="bottom"/>
          </w:tcPr>
          <w:p w:rsidR="00F9276F" w:rsidRPr="00F9276F" w:rsidRDefault="00F9276F" w:rsidP="00691284">
            <w:r>
              <w:t xml:space="preserve">Data and </w:t>
            </w:r>
            <w:r w:rsidR="00691284">
              <w:t>m</w:t>
            </w:r>
            <w:r>
              <w:t>easures</w:t>
            </w:r>
          </w:p>
        </w:tc>
      </w:tr>
      <w:tr w:rsidR="00F9276F" w:rsidRPr="00E22A7A" w:rsidTr="00E22A7A">
        <w:trPr>
          <w:cnfStyle w:val="000000100000" w:firstRow="0" w:lastRow="0" w:firstColumn="0" w:lastColumn="0" w:oddVBand="0" w:evenVBand="0" w:oddHBand="1" w:evenHBand="0" w:firstRowFirstColumn="0" w:firstRowLastColumn="0" w:lastRowFirstColumn="0" w:lastRowLastColumn="0"/>
          <w:cantSplit/>
        </w:trPr>
        <w:tc>
          <w:tcPr>
            <w:tcW w:w="2157" w:type="dxa"/>
          </w:tcPr>
          <w:p w:rsidR="00F9276F" w:rsidRPr="00E22A7A" w:rsidRDefault="00F9276F" w:rsidP="00F9276F">
            <w:pPr>
              <w:rPr>
                <w:i/>
              </w:rPr>
            </w:pPr>
            <w:r w:rsidRPr="00E22A7A">
              <w:rPr>
                <w:i/>
              </w:rPr>
              <w:t>Example: I provide QI 101 training.</w:t>
            </w:r>
          </w:p>
        </w:tc>
        <w:tc>
          <w:tcPr>
            <w:tcW w:w="2158" w:type="dxa"/>
          </w:tcPr>
          <w:p w:rsidR="00F9276F" w:rsidRPr="00E22A7A" w:rsidRDefault="00F9276F" w:rsidP="00F9276F">
            <w:pPr>
              <w:rPr>
                <w:i/>
              </w:rPr>
            </w:pPr>
            <w:r w:rsidRPr="00E22A7A">
              <w:rPr>
                <w:i/>
              </w:rPr>
              <w:t>Local public health.</w:t>
            </w:r>
          </w:p>
        </w:tc>
        <w:tc>
          <w:tcPr>
            <w:tcW w:w="4677" w:type="dxa"/>
          </w:tcPr>
          <w:p w:rsidR="00F9276F" w:rsidRPr="00E22A7A" w:rsidRDefault="00F9276F" w:rsidP="00F9276F">
            <w:pPr>
              <w:rPr>
                <w:i/>
              </w:rPr>
            </w:pPr>
            <w:r w:rsidRPr="00E22A7A">
              <w:rPr>
                <w:i/>
              </w:rPr>
              <w:t>Learn the fundamentals of quality improvement.</w:t>
            </w:r>
          </w:p>
          <w:p w:rsidR="00F9276F" w:rsidRPr="00E22A7A" w:rsidRDefault="00F9276F" w:rsidP="00F9276F">
            <w:pPr>
              <w:rPr>
                <w:i/>
              </w:rPr>
            </w:pPr>
            <w:r w:rsidRPr="00E22A7A">
              <w:rPr>
                <w:i/>
              </w:rPr>
              <w:t>Want useful information they can apply.</w:t>
            </w:r>
          </w:p>
          <w:p w:rsidR="00F9276F" w:rsidRPr="00E22A7A" w:rsidRDefault="00F9276F" w:rsidP="00F9276F">
            <w:pPr>
              <w:rPr>
                <w:i/>
              </w:rPr>
            </w:pPr>
            <w:r w:rsidRPr="00E22A7A">
              <w:rPr>
                <w:i/>
              </w:rPr>
              <w:t>Training needs to be convenient and fit into their schedules.</w:t>
            </w:r>
          </w:p>
        </w:tc>
        <w:tc>
          <w:tcPr>
            <w:tcW w:w="4678" w:type="dxa"/>
          </w:tcPr>
          <w:p w:rsidR="00F9276F" w:rsidRPr="00E22A7A" w:rsidRDefault="00F9276F" w:rsidP="00F9276F">
            <w:pPr>
              <w:rPr>
                <w:i/>
              </w:rPr>
            </w:pPr>
            <w:r w:rsidRPr="00E22A7A">
              <w:rPr>
                <w:i/>
              </w:rPr>
              <w:t>Source of data would be from the evaluation that we provide and collect at the end of class.</w:t>
            </w:r>
          </w:p>
          <w:p w:rsidR="00F9276F" w:rsidRPr="00E22A7A" w:rsidRDefault="00F9276F" w:rsidP="00F9276F">
            <w:pPr>
              <w:rPr>
                <w:i/>
              </w:rPr>
            </w:pPr>
            <w:r w:rsidRPr="00E22A7A">
              <w:rPr>
                <w:i/>
              </w:rPr>
              <w:t>Specifically we might look at the percent who indicate that their skills were enhanced.</w:t>
            </w:r>
          </w:p>
          <w:p w:rsidR="00F9276F" w:rsidRPr="00E22A7A" w:rsidRDefault="00F9276F" w:rsidP="00F9276F">
            <w:pPr>
              <w:rPr>
                <w:i/>
              </w:rPr>
            </w:pPr>
            <w:r w:rsidRPr="00E22A7A">
              <w:rPr>
                <w:i/>
              </w:rPr>
              <w:t>Percent who indicate increased knowledge of QI.</w:t>
            </w:r>
          </w:p>
          <w:p w:rsidR="00F9276F" w:rsidRPr="00E22A7A" w:rsidRDefault="00F9276F" w:rsidP="00F9276F">
            <w:pPr>
              <w:rPr>
                <w:i/>
              </w:rPr>
            </w:pPr>
            <w:r w:rsidRPr="00E22A7A">
              <w:rPr>
                <w:i/>
              </w:rPr>
              <w:t>Percent who indicate they are likely to use the information on the job.</w:t>
            </w:r>
          </w:p>
          <w:p w:rsidR="00F9276F" w:rsidRPr="00E22A7A" w:rsidRDefault="00F9276F" w:rsidP="00F9276F">
            <w:pPr>
              <w:rPr>
                <w:i/>
              </w:rPr>
            </w:pPr>
            <w:r w:rsidRPr="00E22A7A">
              <w:rPr>
                <w:i/>
              </w:rPr>
              <w:t>Could also survey 6 months or a year later and look at the percent who actually used what they learned from the class in their work.</w:t>
            </w:r>
          </w:p>
        </w:tc>
      </w:tr>
      <w:tr w:rsidR="00F9276F" w:rsidTr="00E22A7A">
        <w:trPr>
          <w:cnfStyle w:val="000000010000" w:firstRow="0" w:lastRow="0" w:firstColumn="0" w:lastColumn="0" w:oddVBand="0" w:evenVBand="0" w:oddHBand="0" w:evenHBand="1" w:firstRowFirstColumn="0" w:firstRowLastColumn="0" w:lastRowFirstColumn="0" w:lastRowLastColumn="0"/>
          <w:cantSplit/>
        </w:trPr>
        <w:tc>
          <w:tcPr>
            <w:tcW w:w="2157" w:type="dxa"/>
          </w:tcPr>
          <w:p w:rsidR="00F9276F" w:rsidRDefault="00F9276F" w:rsidP="00F9276F"/>
        </w:tc>
        <w:tc>
          <w:tcPr>
            <w:tcW w:w="2158" w:type="dxa"/>
          </w:tcPr>
          <w:p w:rsidR="00F9276F" w:rsidRDefault="00F9276F" w:rsidP="00F9276F"/>
        </w:tc>
        <w:tc>
          <w:tcPr>
            <w:tcW w:w="4677" w:type="dxa"/>
          </w:tcPr>
          <w:p w:rsidR="00F9276F" w:rsidRDefault="00F9276F" w:rsidP="00F9276F"/>
        </w:tc>
        <w:tc>
          <w:tcPr>
            <w:tcW w:w="4678" w:type="dxa"/>
          </w:tcPr>
          <w:p w:rsidR="00F9276F" w:rsidRDefault="00F9276F" w:rsidP="00F9276F"/>
        </w:tc>
      </w:tr>
      <w:tr w:rsidR="00F9276F" w:rsidTr="00E22A7A">
        <w:trPr>
          <w:cnfStyle w:val="000000100000" w:firstRow="0" w:lastRow="0" w:firstColumn="0" w:lastColumn="0" w:oddVBand="0" w:evenVBand="0" w:oddHBand="1" w:evenHBand="0" w:firstRowFirstColumn="0" w:firstRowLastColumn="0" w:lastRowFirstColumn="0" w:lastRowLastColumn="0"/>
          <w:cantSplit/>
        </w:trPr>
        <w:tc>
          <w:tcPr>
            <w:tcW w:w="2157" w:type="dxa"/>
          </w:tcPr>
          <w:p w:rsidR="00F9276F" w:rsidRDefault="00F9276F" w:rsidP="00F9276F"/>
        </w:tc>
        <w:tc>
          <w:tcPr>
            <w:tcW w:w="2158" w:type="dxa"/>
          </w:tcPr>
          <w:p w:rsidR="00F9276F" w:rsidRDefault="00F9276F" w:rsidP="00F9276F"/>
        </w:tc>
        <w:tc>
          <w:tcPr>
            <w:tcW w:w="4677" w:type="dxa"/>
          </w:tcPr>
          <w:p w:rsidR="00F9276F" w:rsidRDefault="00F9276F" w:rsidP="00F9276F"/>
        </w:tc>
        <w:tc>
          <w:tcPr>
            <w:tcW w:w="4678" w:type="dxa"/>
          </w:tcPr>
          <w:p w:rsidR="00F9276F" w:rsidRDefault="00F9276F" w:rsidP="00F9276F"/>
        </w:tc>
      </w:tr>
      <w:tr w:rsidR="00E22A7A" w:rsidTr="00E22A7A">
        <w:trPr>
          <w:cnfStyle w:val="000000010000" w:firstRow="0" w:lastRow="0" w:firstColumn="0" w:lastColumn="0" w:oddVBand="0" w:evenVBand="0" w:oddHBand="0" w:evenHBand="1" w:firstRowFirstColumn="0" w:firstRowLastColumn="0" w:lastRowFirstColumn="0" w:lastRowLastColumn="0"/>
          <w:cantSplit/>
        </w:trPr>
        <w:tc>
          <w:tcPr>
            <w:tcW w:w="2157" w:type="dxa"/>
          </w:tcPr>
          <w:p w:rsidR="00E22A7A" w:rsidRDefault="00E22A7A" w:rsidP="00F9276F"/>
        </w:tc>
        <w:tc>
          <w:tcPr>
            <w:tcW w:w="2158" w:type="dxa"/>
          </w:tcPr>
          <w:p w:rsidR="00E22A7A" w:rsidRDefault="00E22A7A" w:rsidP="00F9276F"/>
        </w:tc>
        <w:tc>
          <w:tcPr>
            <w:tcW w:w="4677" w:type="dxa"/>
          </w:tcPr>
          <w:p w:rsidR="00E22A7A" w:rsidRDefault="00E22A7A" w:rsidP="00F9276F"/>
        </w:tc>
        <w:tc>
          <w:tcPr>
            <w:tcW w:w="4678" w:type="dxa"/>
          </w:tcPr>
          <w:p w:rsidR="00E22A7A" w:rsidRDefault="00E22A7A" w:rsidP="00F9276F"/>
        </w:tc>
      </w:tr>
      <w:tr w:rsidR="00E22A7A" w:rsidTr="00E22A7A">
        <w:trPr>
          <w:cnfStyle w:val="000000100000" w:firstRow="0" w:lastRow="0" w:firstColumn="0" w:lastColumn="0" w:oddVBand="0" w:evenVBand="0" w:oddHBand="1" w:evenHBand="0" w:firstRowFirstColumn="0" w:firstRowLastColumn="0" w:lastRowFirstColumn="0" w:lastRowLastColumn="0"/>
          <w:cantSplit/>
        </w:trPr>
        <w:tc>
          <w:tcPr>
            <w:tcW w:w="2157" w:type="dxa"/>
          </w:tcPr>
          <w:p w:rsidR="00E22A7A" w:rsidRDefault="00E22A7A" w:rsidP="00F9276F"/>
        </w:tc>
        <w:tc>
          <w:tcPr>
            <w:tcW w:w="2158" w:type="dxa"/>
          </w:tcPr>
          <w:p w:rsidR="00E22A7A" w:rsidRDefault="00E22A7A" w:rsidP="00F9276F"/>
        </w:tc>
        <w:tc>
          <w:tcPr>
            <w:tcW w:w="4677" w:type="dxa"/>
          </w:tcPr>
          <w:p w:rsidR="00E22A7A" w:rsidRDefault="00E22A7A" w:rsidP="00F9276F"/>
        </w:tc>
        <w:tc>
          <w:tcPr>
            <w:tcW w:w="4678" w:type="dxa"/>
          </w:tcPr>
          <w:p w:rsidR="00E22A7A" w:rsidRDefault="00E22A7A" w:rsidP="00F9276F"/>
        </w:tc>
      </w:tr>
      <w:tr w:rsidR="00E22A7A" w:rsidTr="00E22A7A">
        <w:trPr>
          <w:cnfStyle w:val="000000010000" w:firstRow="0" w:lastRow="0" w:firstColumn="0" w:lastColumn="0" w:oddVBand="0" w:evenVBand="0" w:oddHBand="0" w:evenHBand="1" w:firstRowFirstColumn="0" w:firstRowLastColumn="0" w:lastRowFirstColumn="0" w:lastRowLastColumn="0"/>
          <w:cantSplit/>
        </w:trPr>
        <w:tc>
          <w:tcPr>
            <w:tcW w:w="2157" w:type="dxa"/>
          </w:tcPr>
          <w:p w:rsidR="00E22A7A" w:rsidRDefault="00E22A7A" w:rsidP="00F9276F"/>
        </w:tc>
        <w:tc>
          <w:tcPr>
            <w:tcW w:w="2158" w:type="dxa"/>
          </w:tcPr>
          <w:p w:rsidR="00E22A7A" w:rsidRDefault="00E22A7A" w:rsidP="00F9276F"/>
        </w:tc>
        <w:tc>
          <w:tcPr>
            <w:tcW w:w="4677" w:type="dxa"/>
          </w:tcPr>
          <w:p w:rsidR="00E22A7A" w:rsidRDefault="00E22A7A" w:rsidP="00F9276F"/>
        </w:tc>
        <w:tc>
          <w:tcPr>
            <w:tcW w:w="4678" w:type="dxa"/>
          </w:tcPr>
          <w:p w:rsidR="00E22A7A" w:rsidRDefault="00E22A7A" w:rsidP="00F9276F"/>
        </w:tc>
      </w:tr>
      <w:tr w:rsidR="00E22A7A" w:rsidTr="00E22A7A">
        <w:trPr>
          <w:cnfStyle w:val="000000100000" w:firstRow="0" w:lastRow="0" w:firstColumn="0" w:lastColumn="0" w:oddVBand="0" w:evenVBand="0" w:oddHBand="1" w:evenHBand="0" w:firstRowFirstColumn="0" w:firstRowLastColumn="0" w:lastRowFirstColumn="0" w:lastRowLastColumn="0"/>
          <w:cantSplit/>
        </w:trPr>
        <w:tc>
          <w:tcPr>
            <w:tcW w:w="2157" w:type="dxa"/>
          </w:tcPr>
          <w:p w:rsidR="00E22A7A" w:rsidRDefault="00E22A7A" w:rsidP="00F9276F"/>
        </w:tc>
        <w:tc>
          <w:tcPr>
            <w:tcW w:w="2158" w:type="dxa"/>
          </w:tcPr>
          <w:p w:rsidR="00E22A7A" w:rsidRDefault="00E22A7A" w:rsidP="00F9276F"/>
        </w:tc>
        <w:tc>
          <w:tcPr>
            <w:tcW w:w="4677" w:type="dxa"/>
          </w:tcPr>
          <w:p w:rsidR="00E22A7A" w:rsidRDefault="00E22A7A" w:rsidP="00F9276F"/>
        </w:tc>
        <w:tc>
          <w:tcPr>
            <w:tcW w:w="4678" w:type="dxa"/>
          </w:tcPr>
          <w:p w:rsidR="00E22A7A" w:rsidRDefault="00E22A7A" w:rsidP="00F9276F"/>
        </w:tc>
      </w:tr>
    </w:tbl>
    <w:p w:rsidR="00E22A7A" w:rsidRDefault="00E22A7A" w:rsidP="00E22A7A">
      <w:r w:rsidRPr="00F9276F">
        <w:t xml:space="preserve">Adapted from </w:t>
      </w:r>
      <w:hyperlink r:id="rId9" w:history="1">
        <w:r w:rsidRPr="00F9276F">
          <w:rPr>
            <w:rStyle w:val="Hyperlink"/>
            <w:i/>
          </w:rPr>
          <w:t>CQI for Public Health: The Fundamentals</w:t>
        </w:r>
      </w:hyperlink>
      <w:r w:rsidRPr="00F9276F">
        <w:t>. Module 1: Introduction and Principles. The Ohio State University College of Public Health.</w:t>
      </w:r>
    </w:p>
    <w:p w:rsidR="00607162" w:rsidRPr="00DA20CB" w:rsidRDefault="00323DEE" w:rsidP="00607162">
      <w:pPr>
        <w:pStyle w:val="AddressBlockDate"/>
      </w:pPr>
      <w:r w:rsidRPr="00DA20CB">
        <w:t>Minnesota Department of Health</w:t>
      </w:r>
      <w:r w:rsidR="00F9276F">
        <w:br/>
        <w:t>Center for Public Health Practice</w:t>
      </w:r>
      <w:r w:rsidRPr="00DA20CB">
        <w:br/>
      </w:r>
      <w:r w:rsidR="00607162" w:rsidRPr="00DA20CB">
        <w:t xml:space="preserve">PO Box </w:t>
      </w:r>
      <w:r w:rsidR="00F9276F">
        <w:t xml:space="preserve">64975  </w:t>
      </w:r>
      <w:r w:rsidR="00607162" w:rsidRPr="00DA20CB">
        <w:t>St. Paul, MN</w:t>
      </w:r>
      <w:r w:rsidR="00F9276F">
        <w:t xml:space="preserve"> 55164-0975</w:t>
      </w:r>
      <w:r w:rsidR="00607162" w:rsidRPr="00DA20CB">
        <w:br/>
      </w:r>
      <w:r w:rsidR="00F9276F">
        <w:t xml:space="preserve">651-201-3880  </w:t>
      </w:r>
      <w:hyperlink r:id="rId10" w:history="1">
        <w:r w:rsidR="00F9276F" w:rsidRPr="00F9276F">
          <w:t>health.ophp@state.mn.us</w:t>
        </w:r>
      </w:hyperlink>
      <w:r w:rsidR="00F9276F">
        <w:t xml:space="preserve"> </w:t>
      </w:r>
      <w:r w:rsidR="00607162" w:rsidRPr="00DA20CB">
        <w:br/>
      </w:r>
      <w:hyperlink r:id="rId11" w:tooltip="MDH website" w:history="1">
        <w:r w:rsidR="00607162" w:rsidRPr="00DA20CB">
          <w:t>www.health.state.mn.us</w:t>
        </w:r>
      </w:hyperlink>
      <w:r w:rsidR="00F9276F">
        <w:t xml:space="preserve"> </w:t>
      </w:r>
    </w:p>
    <w:p w:rsidR="00607162" w:rsidRPr="00822457" w:rsidRDefault="00F9276F" w:rsidP="00822457">
      <w:pPr>
        <w:pStyle w:val="AddressBlockDate"/>
      </w:pPr>
      <w:r>
        <w:t>Revised December 2017</w:t>
      </w:r>
    </w:p>
    <w:p w:rsidR="00CC4911" w:rsidRPr="00173894" w:rsidRDefault="00607162" w:rsidP="00E57BE7">
      <w:pPr>
        <w:pStyle w:val="Toobtainthisinfo"/>
      </w:pPr>
      <w:r w:rsidRPr="00B95FAA">
        <w:t xml:space="preserve">To obtain this information in a different format, call: </w:t>
      </w:r>
      <w:r w:rsidR="00F9276F">
        <w:t>651-201-3880</w:t>
      </w:r>
      <w:r w:rsidRPr="00B95FAA">
        <w:t>. Printed on recycled paper.</w:t>
      </w:r>
    </w:p>
    <w:sectPr w:rsidR="00CC4911" w:rsidRPr="00173894" w:rsidSect="00F9276F">
      <w:headerReference w:type="default" r:id="rId12"/>
      <w:footerReference w:type="default" r:id="rId13"/>
      <w:footerReference w:type="first" r:id="rId14"/>
      <w:type w:val="continuous"/>
      <w:pgSz w:w="15840" w:h="12240" w:orient="landscape"/>
      <w:pgMar w:top="1080" w:right="1080" w:bottom="1080" w:left="108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6F" w:rsidRDefault="00F9276F" w:rsidP="00F9276F">
      <w:r>
        <w:separator/>
      </w:r>
    </w:p>
  </w:endnote>
  <w:endnote w:type="continuationSeparator" w:id="0">
    <w:p w:rsidR="00F9276F" w:rsidRDefault="00F9276F" w:rsidP="00F9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sidP="00F9276F">
        <w:r w:rsidRPr="000F7548">
          <w:fldChar w:fldCharType="begin"/>
        </w:r>
        <w:r w:rsidRPr="000F7548">
          <w:instrText xml:space="preserve"> PAGE   \* MERGEFORMAT </w:instrText>
        </w:r>
        <w:r w:rsidRPr="000F7548">
          <w:fldChar w:fldCharType="separate"/>
        </w:r>
        <w:r w:rsidR="00D23FAC">
          <w:rPr>
            <w:noProof/>
          </w:rPr>
          <w:t>2</w:t>
        </w:r>
        <w:r w:rsidRPr="000F754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7A" w:rsidRDefault="00E22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6F" w:rsidRDefault="00F9276F" w:rsidP="00F9276F">
      <w:r>
        <w:separator/>
      </w:r>
    </w:p>
  </w:footnote>
  <w:footnote w:type="continuationSeparator" w:id="0">
    <w:p w:rsidR="00F9276F" w:rsidRDefault="00F9276F" w:rsidP="00F9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F9276F" w:rsidP="00F9276F">
    <w:pPr>
      <w:pStyle w:val="Header"/>
    </w:pPr>
    <w:r>
      <w:t>Customer Identification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6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811"/>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284"/>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0CB9"/>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3FAC"/>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A1D"/>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2A7A"/>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76F"/>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9D72B5"/>
  <w15:docId w15:val="{EBE53A41-AF35-425B-9C14-47F9C138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276F"/>
    <w:pPr>
      <w:suppressAutoHyphens/>
      <w:spacing w:before="120" w:after="120"/>
    </w:pPr>
  </w:style>
  <w:style w:type="paragraph" w:styleId="Heading1">
    <w:name w:val="heading 1"/>
    <w:aliases w:val="H1 Title"/>
    <w:basedOn w:val="Normal"/>
    <w:next w:val="Normal"/>
    <w:link w:val="Heading1Char"/>
    <w:uiPriority w:val="4"/>
    <w:qFormat/>
    <w:rsid w:val="00F9276F"/>
    <w:pPr>
      <w:keepNext/>
      <w:keepLines/>
      <w:spacing w:before="48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F9276F"/>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Clarification">
    <w:name w:val="Clarification"/>
    <w:basedOn w:val="Normal"/>
    <w:link w:val="ClarificationChar"/>
    <w:uiPriority w:val="1"/>
    <w:qFormat/>
    <w:rsid w:val="00F9276F"/>
    <w:pPr>
      <w:jc w:val="center"/>
    </w:pPr>
    <w:rPr>
      <w:rFonts w:eastAsia="Times New Roman" w:cs="Times New Roman"/>
      <w:b/>
      <w:i/>
      <w:sz w:val="19"/>
      <w:szCs w:val="19"/>
    </w:rPr>
  </w:style>
  <w:style w:type="character" w:customStyle="1" w:styleId="ClarificationChar">
    <w:name w:val="Clarification Char"/>
    <w:basedOn w:val="DefaultParagraphFont"/>
    <w:link w:val="Clarification"/>
    <w:uiPriority w:val="1"/>
    <w:rsid w:val="00F9276F"/>
    <w:rPr>
      <w:rFonts w:eastAsia="Times New Roman" w:cs="Times New Roman"/>
      <w:b/>
      <w: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state.mn.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alth.ophp@state.mn.us" TargetMode="External"/><Relationship Id="rId4" Type="http://schemas.openxmlformats.org/officeDocument/2006/relationships/settings" Target="settings.xml"/><Relationship Id="rId9" Type="http://schemas.openxmlformats.org/officeDocument/2006/relationships/hyperlink" Target="https://cph.osu.edu/practice/cqi-public-health-fundamental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le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A71C-41BC-4B03-9E8A-95F37D84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20</TotalTime>
  <Pages>2</Pages>
  <Words>331</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Customer Identification Worksheet</vt:lpstr>
    </vt:vector>
  </TitlesOfParts>
  <Company>Minnesota Department of Health</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Identification Worksheet</dc:title>
  <dc:subject>Customer identification worksheet</dc:subject>
  <dc:creator>Center for Public Health Practice - Minnesota Dept. of Health</dc:creator>
  <cp:keywords/>
  <dc:description/>
  <cp:lastModifiedBy>HawleyMarch, Allison (MDH)</cp:lastModifiedBy>
  <cp:revision>4</cp:revision>
  <cp:lastPrinted>2016-12-14T18:03:00Z</cp:lastPrinted>
  <dcterms:created xsi:type="dcterms:W3CDTF">2018-07-09T16:35:00Z</dcterms:created>
  <dcterms:modified xsi:type="dcterms:W3CDTF">2019-10-30T20:48:00Z</dcterms:modified>
</cp:coreProperties>
</file>