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78A61" w14:textId="4273A005" w:rsidR="00835BB6" w:rsidRDefault="00835BB6" w:rsidP="008222D2">
      <w:pPr>
        <w:pStyle w:val="Heading1"/>
        <w:spacing w:before="360"/>
        <w:rPr>
          <w:sz w:val="40"/>
          <w:szCs w:val="40"/>
        </w:rPr>
      </w:pPr>
      <w:bookmarkStart w:id="0" w:name="_Hlk211332381"/>
      <w:r>
        <w:rPr>
          <w:noProof/>
        </w:rPr>
        <w:drawing>
          <wp:inline distT="0" distB="0" distL="0" distR="0" wp14:anchorId="68CEACEA" wp14:editId="5BCC89B0">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5E694BB3" w14:textId="435C70FE" w:rsidR="00B94C9F" w:rsidRPr="00835BB6" w:rsidRDefault="00EB0FF1" w:rsidP="00835BB6">
      <w:pPr>
        <w:pStyle w:val="Heading1"/>
        <w:spacing w:before="360"/>
        <w:rPr>
          <w:sz w:val="40"/>
          <w:szCs w:val="40"/>
        </w:rPr>
      </w:pPr>
      <w:r w:rsidRPr="00835BB6">
        <w:rPr>
          <w:sz w:val="40"/>
          <w:szCs w:val="40"/>
        </w:rPr>
        <w:t>OM&amp;M Manual for Systems Not Maintained by the Occupant</w:t>
      </w:r>
    </w:p>
    <w:p w14:paraId="088A05CC" w14:textId="006F97EE" w:rsidR="00B94C9F" w:rsidRPr="00835BB6" w:rsidRDefault="00EB0FF1" w:rsidP="00835BB6">
      <w:pPr>
        <w:pStyle w:val="Subtitle"/>
        <w:rPr>
          <w:sz w:val="22"/>
        </w:rPr>
      </w:pPr>
      <w:r w:rsidRPr="00835BB6">
        <w:rPr>
          <w:sz w:val="22"/>
        </w:rPr>
        <w:t>An addendum for the Operation, Maintenance and Monitoring Plan</w:t>
      </w:r>
    </w:p>
    <w:bookmarkEnd w:id="0"/>
    <w:p w14:paraId="320D0893" w14:textId="3754D12B" w:rsidR="00B94C9F" w:rsidRPr="00835BB6" w:rsidRDefault="00F70477" w:rsidP="00835BB6">
      <w:pPr>
        <w:pStyle w:val="Heading2"/>
      </w:pPr>
      <w:r w:rsidRPr="00835BB6">
        <w:t>Managing the Mitigation System</w:t>
      </w:r>
    </w:p>
    <w:p w14:paraId="528DD6F5" w14:textId="473C6FB8" w:rsidR="008222D2" w:rsidRDefault="008222D2" w:rsidP="008222D2">
      <w:pPr>
        <w:spacing w:after="240"/>
      </w:pPr>
      <w:r w:rsidRPr="008E035C">
        <w:t xml:space="preserve">It is </w:t>
      </w:r>
      <w:r w:rsidR="00F70477">
        <w:t xml:space="preserve">important that </w:t>
      </w:r>
      <w:r w:rsidRPr="008E035C">
        <w:t xml:space="preserve">property owners and managers maintain and monitor </w:t>
      </w:r>
      <w:r w:rsidR="00F70477">
        <w:t xml:space="preserve">radon </w:t>
      </w:r>
      <w:r w:rsidRPr="008E035C">
        <w:t>system effectiveness for the life of the building. Current and future occupants or purchasers of the property should be able to verify</w:t>
      </w:r>
      <w:r w:rsidR="00F70477">
        <w:t xml:space="preserve"> that the</w:t>
      </w:r>
      <w:r w:rsidRPr="008E035C">
        <w:t xml:space="preserve"> minimum requirements of an operation, maintenance, and monitoring plan (OM&amp;M) have been maintained</w:t>
      </w:r>
      <w:r w:rsidR="00F70477">
        <w:t xml:space="preserve"> by reviewing the documentation.</w:t>
      </w:r>
      <w:r w:rsidRPr="008E035C">
        <w:t xml:space="preserve"> </w:t>
      </w:r>
    </w:p>
    <w:p w14:paraId="32819A51" w14:textId="77777777" w:rsidR="008222D2" w:rsidRPr="008E035C" w:rsidRDefault="008222D2" w:rsidP="008222D2">
      <w:pPr>
        <w:widowControl w:val="0"/>
        <w:tabs>
          <w:tab w:val="left" w:pos="1609"/>
        </w:tabs>
        <w:autoSpaceDE w:val="0"/>
        <w:autoSpaceDN w:val="0"/>
      </w:pPr>
      <w:r w:rsidRPr="008E035C">
        <w:t>Whenever the party responsible for system maintenance and monitoring changes to another party who is not the owner-occupant of the property:</w:t>
      </w:r>
    </w:p>
    <w:p w14:paraId="3109EB5F" w14:textId="6BC37A32" w:rsidR="008222D2" w:rsidRPr="008E035C" w:rsidRDefault="008222D2" w:rsidP="00835BB6">
      <w:pPr>
        <w:pStyle w:val="ListBullet"/>
      </w:pPr>
      <w:r w:rsidRPr="008E035C">
        <w:t xml:space="preserve">The OM&amp;M manual and logs </w:t>
      </w:r>
      <w:r w:rsidR="00F70477">
        <w:t xml:space="preserve">shall </w:t>
      </w:r>
      <w:r w:rsidRPr="008E035C">
        <w:t>be provided to the new responsible party</w:t>
      </w:r>
      <w:r w:rsidR="00F70477">
        <w:t>.</w:t>
      </w:r>
    </w:p>
    <w:p w14:paraId="64975C19" w14:textId="7973D51C" w:rsidR="008222D2" w:rsidRPr="008E035C" w:rsidRDefault="00F70477" w:rsidP="00835BB6">
      <w:pPr>
        <w:pStyle w:val="ListBullet"/>
      </w:pPr>
      <w:r>
        <w:t>The n</w:t>
      </w:r>
      <w:r w:rsidR="008222D2" w:rsidRPr="008E035C">
        <w:t xml:space="preserve">ewly responsible parties </w:t>
      </w:r>
      <w:r>
        <w:t xml:space="preserve">shall </w:t>
      </w:r>
      <w:r w:rsidR="008222D2" w:rsidRPr="008E035C">
        <w:t xml:space="preserve">update </w:t>
      </w:r>
      <w:r>
        <w:t xml:space="preserve">the </w:t>
      </w:r>
      <w:r w:rsidR="008222D2" w:rsidRPr="008E035C">
        <w:t>contact information on system labels</w:t>
      </w:r>
      <w:r w:rsidR="008222D2">
        <w:t>.</w:t>
      </w:r>
    </w:p>
    <w:p w14:paraId="1DB51AF4" w14:textId="41203129" w:rsidR="008222D2" w:rsidRPr="004D10DA" w:rsidRDefault="008222D2" w:rsidP="008222D2">
      <w:pPr>
        <w:widowControl w:val="0"/>
        <w:tabs>
          <w:tab w:val="left" w:pos="1800"/>
        </w:tabs>
        <w:autoSpaceDE w:val="0"/>
        <w:autoSpaceDN w:val="0"/>
        <w:spacing w:before="0" w:after="0"/>
        <w:ind w:left="86" w:right="461"/>
      </w:pPr>
      <w:r w:rsidRPr="004D10DA">
        <w:t xml:space="preserve">Whenever the </w:t>
      </w:r>
      <w:r w:rsidR="00F70477">
        <w:t xml:space="preserve">party </w:t>
      </w:r>
      <w:r w:rsidRPr="004D10DA">
        <w:t>responsib</w:t>
      </w:r>
      <w:r w:rsidR="00F70477">
        <w:t>le</w:t>
      </w:r>
      <w:r w:rsidRPr="004D10DA">
        <w:t xml:space="preserve"> for </w:t>
      </w:r>
      <w:r w:rsidR="00F70477">
        <w:t xml:space="preserve">system </w:t>
      </w:r>
      <w:r w:rsidRPr="004D10DA">
        <w:t xml:space="preserve">maintenance and monitoring changes from an independent party to an owner-occupant, the system is to be relabeled </w:t>
      </w:r>
      <w:r>
        <w:t xml:space="preserve">as required, </w:t>
      </w:r>
      <w:r w:rsidRPr="004D10DA">
        <w:t>an</w:t>
      </w:r>
      <w:r>
        <w:t>d</w:t>
      </w:r>
      <w:r w:rsidRPr="004D10DA">
        <w:t xml:space="preserve"> </w:t>
      </w:r>
      <w:r>
        <w:t xml:space="preserve">an </w:t>
      </w:r>
      <w:r w:rsidRPr="004D10DA">
        <w:t>updated OM&amp;M manual is to be provided to the owner(s).</w:t>
      </w:r>
    </w:p>
    <w:p w14:paraId="7C004C72" w14:textId="6B456F82" w:rsidR="008222D2" w:rsidRPr="00835BB6" w:rsidRDefault="008222D2" w:rsidP="00835BB6">
      <w:pPr>
        <w:pStyle w:val="Heading2"/>
      </w:pPr>
      <w:r w:rsidRPr="00835BB6">
        <w:t>Radon Measurements</w:t>
      </w:r>
    </w:p>
    <w:p w14:paraId="357CE1B2" w14:textId="0B0ABA21" w:rsidR="008222D2" w:rsidRPr="008E035C" w:rsidRDefault="008222D2" w:rsidP="008222D2">
      <w:pPr>
        <w:pStyle w:val="BodyText"/>
        <w:spacing w:after="240"/>
        <w:ind w:right="462" w:hanging="1"/>
        <w:rPr>
          <w:rFonts w:ascii="Calibri" w:eastAsiaTheme="minorEastAsia" w:hAnsi="Calibri" w:cstheme="minorBidi"/>
          <w:sz w:val="24"/>
        </w:rPr>
      </w:pPr>
      <w:r w:rsidRPr="008E035C">
        <w:rPr>
          <w:rFonts w:ascii="Calibri" w:eastAsiaTheme="minorEastAsia" w:hAnsi="Calibri" w:cstheme="minorBidi"/>
          <w:sz w:val="24"/>
        </w:rPr>
        <w:t>The OM&amp;M manual shall include a summary of the pre-</w:t>
      </w:r>
      <w:r>
        <w:rPr>
          <w:rFonts w:ascii="Calibri" w:eastAsiaTheme="minorEastAsia" w:hAnsi="Calibri" w:cstheme="minorBidi"/>
          <w:sz w:val="24"/>
        </w:rPr>
        <w:t xml:space="preserve"> </w:t>
      </w:r>
      <w:r w:rsidRPr="008E035C">
        <w:rPr>
          <w:rFonts w:ascii="Calibri" w:eastAsiaTheme="minorEastAsia" w:hAnsi="Calibri" w:cstheme="minorBidi"/>
          <w:sz w:val="24"/>
        </w:rPr>
        <w:t>and post-mitigation investigation(s) and</w:t>
      </w:r>
      <w:r>
        <w:rPr>
          <w:rFonts w:ascii="Calibri" w:eastAsiaTheme="minorEastAsia" w:hAnsi="Calibri" w:cstheme="minorBidi"/>
          <w:sz w:val="24"/>
        </w:rPr>
        <w:t>,</w:t>
      </w:r>
      <w:r w:rsidRPr="008E035C">
        <w:rPr>
          <w:rFonts w:ascii="Calibri" w:eastAsiaTheme="minorEastAsia" w:hAnsi="Calibri" w:cstheme="minorBidi"/>
          <w:sz w:val="24"/>
        </w:rPr>
        <w:t xml:space="preserve"> if available, pre-, and post-mitigation test data. See “Radon Test Results” section of</w:t>
      </w:r>
      <w:r>
        <w:rPr>
          <w:rFonts w:ascii="Calibri" w:eastAsiaTheme="minorEastAsia" w:hAnsi="Calibri" w:cstheme="minorBidi"/>
          <w:sz w:val="24"/>
        </w:rPr>
        <w:t xml:space="preserve"> the</w:t>
      </w:r>
      <w:r w:rsidRPr="008E035C">
        <w:rPr>
          <w:rFonts w:ascii="Calibri" w:eastAsiaTheme="minorEastAsia" w:hAnsi="Calibri" w:cstheme="minorBidi"/>
          <w:sz w:val="24"/>
        </w:rPr>
        <w:t xml:space="preserve"> OM</w:t>
      </w:r>
      <w:r w:rsidR="00F70477">
        <w:rPr>
          <w:rFonts w:ascii="Calibri" w:eastAsiaTheme="minorEastAsia" w:hAnsi="Calibri" w:cstheme="minorBidi"/>
          <w:sz w:val="24"/>
        </w:rPr>
        <w:t>&amp;</w:t>
      </w:r>
      <w:r w:rsidRPr="008E035C">
        <w:rPr>
          <w:rFonts w:ascii="Calibri" w:eastAsiaTheme="minorEastAsia" w:hAnsi="Calibri" w:cstheme="minorBidi"/>
          <w:sz w:val="24"/>
        </w:rPr>
        <w:t>M plan and any attached test reports</w:t>
      </w:r>
      <w:r>
        <w:rPr>
          <w:rFonts w:ascii="Calibri" w:eastAsiaTheme="minorEastAsia" w:hAnsi="Calibri" w:cstheme="minorBidi"/>
          <w:sz w:val="24"/>
        </w:rPr>
        <w:t>.</w:t>
      </w:r>
    </w:p>
    <w:p w14:paraId="2F37C79C" w14:textId="56CDC7A5" w:rsidR="008222D2" w:rsidRPr="008E035C" w:rsidRDefault="008222D2" w:rsidP="008222D2">
      <w:pPr>
        <w:pStyle w:val="BodyText"/>
        <w:spacing w:after="120"/>
        <w:ind w:right="462"/>
        <w:rPr>
          <w:rFonts w:ascii="Calibri" w:eastAsiaTheme="minorEastAsia" w:hAnsi="Calibri" w:cstheme="minorBidi"/>
          <w:sz w:val="24"/>
        </w:rPr>
      </w:pPr>
      <w:r w:rsidRPr="008E035C">
        <w:rPr>
          <w:rFonts w:ascii="Calibri" w:eastAsiaTheme="minorEastAsia" w:hAnsi="Calibri" w:cstheme="minorBidi"/>
          <w:sz w:val="24"/>
        </w:rPr>
        <w:t>In addition to the “When to Retest” recommendations in the OM</w:t>
      </w:r>
      <w:r w:rsidR="00750B95">
        <w:rPr>
          <w:rFonts w:ascii="Calibri" w:eastAsiaTheme="minorEastAsia" w:hAnsi="Calibri" w:cstheme="minorBidi"/>
          <w:sz w:val="24"/>
        </w:rPr>
        <w:t>&amp;</w:t>
      </w:r>
      <w:r w:rsidRPr="008E035C">
        <w:rPr>
          <w:rFonts w:ascii="Calibri" w:eastAsiaTheme="minorEastAsia" w:hAnsi="Calibri" w:cstheme="minorBidi"/>
          <w:sz w:val="24"/>
        </w:rPr>
        <w:t>M Plan</w:t>
      </w:r>
      <w:r>
        <w:rPr>
          <w:rFonts w:ascii="Calibri" w:eastAsiaTheme="minorEastAsia" w:hAnsi="Calibri" w:cstheme="minorBidi"/>
          <w:sz w:val="24"/>
        </w:rPr>
        <w:t>,</w:t>
      </w:r>
    </w:p>
    <w:p w14:paraId="09F17388" w14:textId="77777777" w:rsidR="008222D2" w:rsidRPr="008E035C" w:rsidRDefault="008222D2" w:rsidP="008222D2">
      <w:pPr>
        <w:pStyle w:val="ListBullet"/>
      </w:pPr>
      <w:r w:rsidRPr="008E035C">
        <w:t>Test all buildings at the property at least every 5 years. All radon measurements shall be conducted in compliance with ANSI/AARST MALB-MF. The clearance test procedure required includes testing all ground-contact dwellings and non-residential rooms that are occupied or intended to be occupied; not less than 10% of dwellings and non-residential rooms on each upper floor; and any mitigated areas on upper floors.</w:t>
      </w:r>
    </w:p>
    <w:p w14:paraId="0EE9E34E" w14:textId="09BDCE08" w:rsidR="008222D2" w:rsidRPr="002F100F" w:rsidRDefault="008222D2" w:rsidP="008222D2">
      <w:pPr>
        <w:pStyle w:val="ListBullet"/>
      </w:pPr>
      <w:r w:rsidRPr="002F100F">
        <w:t xml:space="preserve">After post-mitigation clearance testing and in between 5-year clearance test events, test all previously tested locations </w:t>
      </w:r>
      <w:r w:rsidR="00EB0FF1">
        <w:t>and</w:t>
      </w:r>
      <w:r w:rsidRPr="002F100F">
        <w:t xml:space="preserve"> mitigated areas at 2-year intervals, to ensure continued effectiveness.</w:t>
      </w:r>
      <w:r>
        <w:t xml:space="preserve"> </w:t>
      </w:r>
      <w:r w:rsidRPr="002F100F">
        <w:t>It is permitted to suspend testing at 2-year intervals where the required effectiveness of a mitigation system has consistently demonstrated for a period of not less than eight years, and such systems are:</w:t>
      </w:r>
    </w:p>
    <w:p w14:paraId="3DC1D1F8" w14:textId="77777777" w:rsidR="008222D2" w:rsidRPr="008E035C" w:rsidRDefault="008222D2" w:rsidP="008222D2">
      <w:pPr>
        <w:pStyle w:val="ListBullet"/>
        <w:numPr>
          <w:ilvl w:val="1"/>
          <w:numId w:val="8"/>
        </w:numPr>
      </w:pPr>
      <w:r w:rsidRPr="008E035C">
        <w:t>inspected quarterly to verify fan operation,</w:t>
      </w:r>
    </w:p>
    <w:p w14:paraId="4FA0FE7F" w14:textId="77777777" w:rsidR="008222D2" w:rsidRPr="008E035C" w:rsidRDefault="008222D2" w:rsidP="008222D2">
      <w:pPr>
        <w:pStyle w:val="ListBullet"/>
        <w:numPr>
          <w:ilvl w:val="1"/>
          <w:numId w:val="8"/>
        </w:numPr>
      </w:pPr>
      <w:r w:rsidRPr="008E035C">
        <w:t>inspected biennially for mechanical equipment performance and integrity, and</w:t>
      </w:r>
    </w:p>
    <w:p w14:paraId="6E501B16" w14:textId="77777777" w:rsidR="008222D2" w:rsidRPr="008E035C" w:rsidRDefault="008222D2" w:rsidP="008222D2">
      <w:pPr>
        <w:pStyle w:val="ListBullet"/>
        <w:numPr>
          <w:ilvl w:val="1"/>
          <w:numId w:val="8"/>
        </w:numPr>
      </w:pPr>
      <w:r w:rsidRPr="008E035C">
        <w:t>all buildings at the property and mitigated areas are retested every 5 years.</w:t>
      </w:r>
    </w:p>
    <w:p w14:paraId="19545000" w14:textId="711F91CD" w:rsidR="001A1E57" w:rsidRDefault="008222D2" w:rsidP="008222D2">
      <w:pPr>
        <w:pStyle w:val="ListBullet"/>
      </w:pPr>
      <w:r w:rsidRPr="008E035C">
        <w:t xml:space="preserve">Each of these stewardship testing events </w:t>
      </w:r>
      <w:r>
        <w:t xml:space="preserve">are </w:t>
      </w:r>
      <w:r w:rsidRPr="008E035C">
        <w:t>to include mechanical inspections conducted by a qualified professional to verify continued performance of equipment.</w:t>
      </w:r>
    </w:p>
    <w:p w14:paraId="4970E56C" w14:textId="77777777" w:rsidR="00EB0FF1" w:rsidRDefault="00EB0FF1" w:rsidP="00EB0FF1">
      <w:pPr>
        <w:pStyle w:val="ListBullet"/>
        <w:numPr>
          <w:ilvl w:val="0"/>
          <w:numId w:val="0"/>
        </w:numPr>
        <w:ind w:left="360"/>
        <w:sectPr w:rsidR="00EB0FF1" w:rsidSect="0052170B">
          <w:headerReference w:type="default" r:id="rId13"/>
          <w:footerReference w:type="default" r:id="rId14"/>
          <w:footerReference w:type="first" r:id="rId15"/>
          <w:type w:val="continuous"/>
          <w:pgSz w:w="12240" w:h="15840"/>
          <w:pgMar w:top="720" w:right="1008" w:bottom="720" w:left="1008" w:header="0" w:footer="518" w:gutter="0"/>
          <w:cols w:space="720"/>
          <w:titlePg/>
          <w:docGrid w:linePitch="360"/>
        </w:sectPr>
      </w:pPr>
    </w:p>
    <w:p w14:paraId="046AEB86" w14:textId="7385C579" w:rsidR="00EB0FF1" w:rsidRPr="00835BB6" w:rsidRDefault="00EB0FF1" w:rsidP="00835BB6">
      <w:pPr>
        <w:pStyle w:val="TableorChartTitle"/>
        <w:spacing w:before="120"/>
      </w:pPr>
      <w:r w:rsidRPr="00835BB6">
        <w:lastRenderedPageBreak/>
        <w:t>Maintenance Inspection Checklist</w:t>
      </w:r>
      <w:r w:rsidR="0062284D" w:rsidRPr="00835BB6">
        <w:t xml:space="preserve"> for Active Soil Depressurization (ASD) Mitigation Systems</w:t>
      </w:r>
    </w:p>
    <w:tbl>
      <w:tblPr>
        <w:tblStyle w:val="TableGrid"/>
        <w:tblW w:w="14490" w:type="dxa"/>
        <w:tblLook w:val="04A0" w:firstRow="1" w:lastRow="0" w:firstColumn="1" w:lastColumn="0" w:noHBand="0" w:noVBand="1"/>
      </w:tblPr>
      <w:tblGrid>
        <w:gridCol w:w="3960"/>
        <w:gridCol w:w="2250"/>
        <w:gridCol w:w="5490"/>
        <w:gridCol w:w="2790"/>
      </w:tblGrid>
      <w:tr w:rsidR="00EB0FF1" w14:paraId="267397E3" w14:textId="77777777" w:rsidTr="00CB78CA">
        <w:trPr>
          <w:tblHeader/>
        </w:trPr>
        <w:tc>
          <w:tcPr>
            <w:tcW w:w="3960" w:type="dxa"/>
            <w:tcBorders>
              <w:top w:val="nil"/>
              <w:left w:val="nil"/>
              <w:right w:val="nil"/>
            </w:tcBorders>
          </w:tcPr>
          <w:p w14:paraId="105F183B" w14:textId="77777777" w:rsidR="00EB0FF1" w:rsidRDefault="00EB0FF1" w:rsidP="00CB78CA">
            <w:pPr>
              <w:rPr>
                <w:b/>
                <w:bCs/>
              </w:rPr>
            </w:pPr>
            <w:r>
              <w:rPr>
                <w:b/>
                <w:bCs/>
              </w:rPr>
              <w:t>Item</w:t>
            </w:r>
          </w:p>
        </w:tc>
        <w:tc>
          <w:tcPr>
            <w:tcW w:w="2250" w:type="dxa"/>
            <w:tcBorders>
              <w:top w:val="nil"/>
              <w:left w:val="nil"/>
              <w:right w:val="nil"/>
            </w:tcBorders>
          </w:tcPr>
          <w:p w14:paraId="2B3156C4" w14:textId="77777777" w:rsidR="00EB0FF1" w:rsidRDefault="00EB0FF1" w:rsidP="00CB78CA">
            <w:pPr>
              <w:rPr>
                <w:b/>
                <w:bCs/>
              </w:rPr>
            </w:pPr>
            <w:r>
              <w:rPr>
                <w:b/>
                <w:bCs/>
              </w:rPr>
              <w:t>Location</w:t>
            </w:r>
          </w:p>
        </w:tc>
        <w:tc>
          <w:tcPr>
            <w:tcW w:w="5490" w:type="dxa"/>
            <w:tcBorders>
              <w:top w:val="nil"/>
              <w:left w:val="nil"/>
              <w:right w:val="nil"/>
            </w:tcBorders>
          </w:tcPr>
          <w:p w14:paraId="1EDA740C" w14:textId="77777777" w:rsidR="00EB0FF1" w:rsidRDefault="00EB0FF1" w:rsidP="00CB78CA">
            <w:pPr>
              <w:rPr>
                <w:b/>
                <w:bCs/>
              </w:rPr>
            </w:pPr>
            <w:r>
              <w:rPr>
                <w:b/>
                <w:bCs/>
              </w:rPr>
              <w:t>What to Check</w:t>
            </w:r>
          </w:p>
        </w:tc>
        <w:tc>
          <w:tcPr>
            <w:tcW w:w="2790" w:type="dxa"/>
            <w:tcBorders>
              <w:top w:val="nil"/>
              <w:left w:val="nil"/>
              <w:right w:val="nil"/>
            </w:tcBorders>
          </w:tcPr>
          <w:p w14:paraId="3DA2B7D7" w14:textId="77777777" w:rsidR="00EB0FF1" w:rsidRDefault="00EB0FF1" w:rsidP="00CB78CA">
            <w:pPr>
              <w:rPr>
                <w:b/>
                <w:bCs/>
              </w:rPr>
            </w:pPr>
            <w:r>
              <w:rPr>
                <w:b/>
                <w:bCs/>
              </w:rPr>
              <w:t>Action If Not Working</w:t>
            </w:r>
          </w:p>
        </w:tc>
      </w:tr>
      <w:tr w:rsidR="00EB0FF1" w:rsidRPr="00B24BE2" w14:paraId="5AA55162" w14:textId="77777777" w:rsidTr="0062284D">
        <w:tc>
          <w:tcPr>
            <w:tcW w:w="3960" w:type="dxa"/>
            <w:vAlign w:val="center"/>
          </w:tcPr>
          <w:p w14:paraId="3B969EB4" w14:textId="77777777" w:rsidR="00EB0FF1" w:rsidRPr="00B24BE2" w:rsidRDefault="00EB0FF1" w:rsidP="00230961">
            <w:pPr>
              <w:spacing w:before="0" w:after="0"/>
              <w:rPr>
                <w:sz w:val="22"/>
                <w:szCs w:val="20"/>
              </w:rPr>
            </w:pPr>
            <w:r w:rsidRPr="00B24BE2">
              <w:rPr>
                <w:sz w:val="22"/>
                <w:szCs w:val="20"/>
              </w:rPr>
              <w:t>ASD system fan</w:t>
            </w:r>
          </w:p>
        </w:tc>
        <w:tc>
          <w:tcPr>
            <w:tcW w:w="2250" w:type="dxa"/>
            <w:vAlign w:val="center"/>
          </w:tcPr>
          <w:p w14:paraId="1C5344EC" w14:textId="77777777" w:rsidR="00EB0FF1" w:rsidRPr="00B24BE2" w:rsidRDefault="00EB0FF1" w:rsidP="00230961">
            <w:pPr>
              <w:spacing w:before="0" w:after="0"/>
              <w:rPr>
                <w:sz w:val="22"/>
                <w:szCs w:val="20"/>
              </w:rPr>
            </w:pPr>
          </w:p>
        </w:tc>
        <w:tc>
          <w:tcPr>
            <w:tcW w:w="5490" w:type="dxa"/>
            <w:vAlign w:val="center"/>
          </w:tcPr>
          <w:p w14:paraId="4187C9EE" w14:textId="77777777" w:rsidR="00EB0FF1" w:rsidRPr="00B24BE2" w:rsidRDefault="00EB0FF1" w:rsidP="00230961">
            <w:pPr>
              <w:spacing w:before="0" w:after="0"/>
              <w:rPr>
                <w:sz w:val="22"/>
                <w:szCs w:val="20"/>
              </w:rPr>
            </w:pPr>
            <w:r w:rsidRPr="00B24BE2">
              <w:rPr>
                <w:sz w:val="22"/>
                <w:szCs w:val="20"/>
              </w:rPr>
              <w:t>Ensure it is labeled, turned on, and not damaged</w:t>
            </w:r>
            <w:r>
              <w:rPr>
                <w:sz w:val="22"/>
                <w:szCs w:val="20"/>
              </w:rPr>
              <w:t>. Verify proper setting if applicable.</w:t>
            </w:r>
          </w:p>
        </w:tc>
        <w:tc>
          <w:tcPr>
            <w:tcW w:w="2790" w:type="dxa"/>
            <w:vAlign w:val="center"/>
          </w:tcPr>
          <w:p w14:paraId="115A9225" w14:textId="77777777" w:rsidR="00EB0FF1" w:rsidRPr="00B24BE2" w:rsidRDefault="00EB0FF1" w:rsidP="00230961">
            <w:pPr>
              <w:spacing w:before="0" w:after="0"/>
              <w:rPr>
                <w:sz w:val="22"/>
                <w:szCs w:val="20"/>
              </w:rPr>
            </w:pPr>
            <w:r w:rsidRPr="00B24BE2">
              <w:rPr>
                <w:sz w:val="22"/>
                <w:szCs w:val="20"/>
              </w:rPr>
              <w:t>Verify fan is powered. Contact licensed installer.</w:t>
            </w:r>
          </w:p>
        </w:tc>
      </w:tr>
      <w:tr w:rsidR="00EB0FF1" w:rsidRPr="00B24BE2" w14:paraId="59CA92FD" w14:textId="77777777" w:rsidTr="0062284D">
        <w:tc>
          <w:tcPr>
            <w:tcW w:w="3960" w:type="dxa"/>
            <w:vAlign w:val="center"/>
          </w:tcPr>
          <w:p w14:paraId="1330026F" w14:textId="77777777" w:rsidR="00EB0FF1" w:rsidRPr="00B24BE2" w:rsidRDefault="00EB0FF1" w:rsidP="00230961">
            <w:pPr>
              <w:spacing w:before="0" w:after="0"/>
              <w:rPr>
                <w:sz w:val="22"/>
                <w:szCs w:val="20"/>
              </w:rPr>
            </w:pPr>
            <w:r w:rsidRPr="00B24BE2">
              <w:rPr>
                <w:sz w:val="22"/>
                <w:szCs w:val="20"/>
              </w:rPr>
              <w:t>Fan electrical disconnect</w:t>
            </w:r>
          </w:p>
        </w:tc>
        <w:tc>
          <w:tcPr>
            <w:tcW w:w="2250" w:type="dxa"/>
            <w:vAlign w:val="center"/>
          </w:tcPr>
          <w:p w14:paraId="33DA0A08" w14:textId="77777777" w:rsidR="00EB0FF1" w:rsidRPr="00B24BE2" w:rsidRDefault="00EB0FF1" w:rsidP="00230961">
            <w:pPr>
              <w:spacing w:before="0" w:after="0"/>
              <w:rPr>
                <w:sz w:val="22"/>
                <w:szCs w:val="20"/>
              </w:rPr>
            </w:pPr>
          </w:p>
        </w:tc>
        <w:tc>
          <w:tcPr>
            <w:tcW w:w="5490" w:type="dxa"/>
            <w:vAlign w:val="center"/>
          </w:tcPr>
          <w:p w14:paraId="4EBFA71A" w14:textId="77777777" w:rsidR="00EB0FF1" w:rsidRPr="00B24BE2" w:rsidRDefault="00EB0FF1" w:rsidP="00230961">
            <w:pPr>
              <w:spacing w:before="0" w:after="0"/>
              <w:rPr>
                <w:sz w:val="22"/>
                <w:szCs w:val="20"/>
              </w:rPr>
            </w:pPr>
            <w:r w:rsidRPr="00B24BE2">
              <w:rPr>
                <w:sz w:val="22"/>
                <w:szCs w:val="20"/>
              </w:rPr>
              <w:t>Ensure it is labeled, turned on (GFCI not tripped), and not damaged</w:t>
            </w:r>
          </w:p>
        </w:tc>
        <w:tc>
          <w:tcPr>
            <w:tcW w:w="2790" w:type="dxa"/>
            <w:vAlign w:val="center"/>
          </w:tcPr>
          <w:p w14:paraId="297A7440" w14:textId="77777777" w:rsidR="00EB0FF1" w:rsidRPr="00B24BE2" w:rsidRDefault="00EB0FF1" w:rsidP="00230961">
            <w:pPr>
              <w:spacing w:before="0" w:after="0"/>
              <w:rPr>
                <w:sz w:val="22"/>
                <w:szCs w:val="20"/>
              </w:rPr>
            </w:pPr>
            <w:r w:rsidRPr="00B24BE2">
              <w:rPr>
                <w:sz w:val="22"/>
                <w:szCs w:val="20"/>
              </w:rPr>
              <w:t xml:space="preserve">Reset breaker or GFCI </w:t>
            </w:r>
            <w:r>
              <w:rPr>
                <w:sz w:val="22"/>
                <w:szCs w:val="20"/>
              </w:rPr>
              <w:t>switch</w:t>
            </w:r>
          </w:p>
        </w:tc>
      </w:tr>
      <w:tr w:rsidR="00EB0FF1" w:rsidRPr="00B24BE2" w14:paraId="04D78DFF" w14:textId="77777777" w:rsidTr="0062284D">
        <w:tc>
          <w:tcPr>
            <w:tcW w:w="3960" w:type="dxa"/>
            <w:vAlign w:val="center"/>
          </w:tcPr>
          <w:p w14:paraId="4B75E8A6" w14:textId="77777777" w:rsidR="00EB0FF1" w:rsidRPr="00B24BE2" w:rsidRDefault="00EB0FF1" w:rsidP="00230961">
            <w:pPr>
              <w:spacing w:before="0" w:after="0"/>
              <w:rPr>
                <w:sz w:val="22"/>
                <w:szCs w:val="20"/>
              </w:rPr>
            </w:pPr>
            <w:r w:rsidRPr="00B24BE2">
              <w:rPr>
                <w:sz w:val="22"/>
                <w:szCs w:val="20"/>
              </w:rPr>
              <w:t>Fan mounting couplings</w:t>
            </w:r>
          </w:p>
        </w:tc>
        <w:tc>
          <w:tcPr>
            <w:tcW w:w="2250" w:type="dxa"/>
            <w:vAlign w:val="center"/>
          </w:tcPr>
          <w:p w14:paraId="056B01FF" w14:textId="77777777" w:rsidR="00EB0FF1" w:rsidRPr="00B24BE2" w:rsidRDefault="00EB0FF1" w:rsidP="00230961">
            <w:pPr>
              <w:spacing w:before="0" w:after="0"/>
              <w:rPr>
                <w:sz w:val="22"/>
                <w:szCs w:val="20"/>
              </w:rPr>
            </w:pPr>
          </w:p>
        </w:tc>
        <w:tc>
          <w:tcPr>
            <w:tcW w:w="5490" w:type="dxa"/>
            <w:vAlign w:val="center"/>
          </w:tcPr>
          <w:p w14:paraId="7538575E" w14:textId="77777777" w:rsidR="00EB0FF1" w:rsidRPr="00B24BE2" w:rsidRDefault="00EB0FF1" w:rsidP="00230961">
            <w:pPr>
              <w:spacing w:before="0" w:after="0"/>
              <w:rPr>
                <w:sz w:val="22"/>
                <w:szCs w:val="20"/>
              </w:rPr>
            </w:pPr>
            <w:r w:rsidRPr="00B24BE2">
              <w:rPr>
                <w:sz w:val="22"/>
                <w:szCs w:val="20"/>
              </w:rPr>
              <w:t>Ensure couplings are in good condition and clamps are tight</w:t>
            </w:r>
          </w:p>
        </w:tc>
        <w:tc>
          <w:tcPr>
            <w:tcW w:w="2790" w:type="dxa"/>
            <w:vAlign w:val="center"/>
          </w:tcPr>
          <w:p w14:paraId="0D7CB926" w14:textId="0F4F66E4" w:rsidR="00EB0FF1" w:rsidRPr="00B24BE2" w:rsidRDefault="00EB0FF1" w:rsidP="00230961">
            <w:pPr>
              <w:spacing w:before="0" w:after="0"/>
              <w:rPr>
                <w:sz w:val="22"/>
                <w:szCs w:val="20"/>
              </w:rPr>
            </w:pPr>
            <w:r w:rsidRPr="00B24BE2">
              <w:rPr>
                <w:sz w:val="22"/>
                <w:szCs w:val="20"/>
              </w:rPr>
              <w:t xml:space="preserve">Tighten </w:t>
            </w:r>
            <w:r>
              <w:rPr>
                <w:sz w:val="22"/>
                <w:szCs w:val="20"/>
              </w:rPr>
              <w:t>if</w:t>
            </w:r>
            <w:r w:rsidRPr="00B24BE2">
              <w:rPr>
                <w:sz w:val="22"/>
                <w:szCs w:val="20"/>
              </w:rPr>
              <w:t xml:space="preserve"> needed</w:t>
            </w:r>
          </w:p>
        </w:tc>
      </w:tr>
      <w:tr w:rsidR="00EB0FF1" w:rsidRPr="00B24BE2" w14:paraId="71AFCD00" w14:textId="77777777" w:rsidTr="0062284D">
        <w:tc>
          <w:tcPr>
            <w:tcW w:w="3960" w:type="dxa"/>
            <w:vAlign w:val="center"/>
          </w:tcPr>
          <w:p w14:paraId="5C6F2309" w14:textId="77777777" w:rsidR="00EB0FF1" w:rsidRPr="00B24BE2" w:rsidRDefault="00EB0FF1" w:rsidP="00230961">
            <w:pPr>
              <w:spacing w:before="0" w:after="0"/>
              <w:rPr>
                <w:sz w:val="22"/>
                <w:szCs w:val="20"/>
              </w:rPr>
            </w:pPr>
            <w:r w:rsidRPr="00B24BE2">
              <w:rPr>
                <w:sz w:val="22"/>
                <w:szCs w:val="20"/>
              </w:rPr>
              <w:t>Manometer</w:t>
            </w:r>
          </w:p>
        </w:tc>
        <w:tc>
          <w:tcPr>
            <w:tcW w:w="2250" w:type="dxa"/>
            <w:vAlign w:val="center"/>
          </w:tcPr>
          <w:p w14:paraId="2EA00156" w14:textId="77777777" w:rsidR="00EB0FF1" w:rsidRPr="00B24BE2" w:rsidRDefault="00EB0FF1" w:rsidP="00230961">
            <w:pPr>
              <w:spacing w:before="0" w:after="0"/>
              <w:rPr>
                <w:sz w:val="22"/>
                <w:szCs w:val="20"/>
              </w:rPr>
            </w:pPr>
          </w:p>
        </w:tc>
        <w:tc>
          <w:tcPr>
            <w:tcW w:w="5490" w:type="dxa"/>
            <w:vAlign w:val="center"/>
          </w:tcPr>
          <w:p w14:paraId="4B601DC1" w14:textId="77777777" w:rsidR="00EB0FF1" w:rsidRPr="00B24BE2" w:rsidRDefault="00EB0FF1" w:rsidP="00230961">
            <w:pPr>
              <w:spacing w:before="0" w:after="0"/>
              <w:rPr>
                <w:sz w:val="22"/>
                <w:szCs w:val="20"/>
              </w:rPr>
            </w:pPr>
            <w:r w:rsidRPr="00B24BE2">
              <w:rPr>
                <w:sz w:val="22"/>
                <w:szCs w:val="20"/>
              </w:rPr>
              <w:t xml:space="preserve">Verify fluid </w:t>
            </w:r>
            <w:r>
              <w:rPr>
                <w:sz w:val="22"/>
                <w:szCs w:val="20"/>
              </w:rPr>
              <w:t xml:space="preserve">or indicator </w:t>
            </w:r>
            <w:r w:rsidRPr="00B24BE2">
              <w:rPr>
                <w:sz w:val="22"/>
                <w:szCs w:val="20"/>
              </w:rPr>
              <w:t>is at marked reading</w:t>
            </w:r>
          </w:p>
        </w:tc>
        <w:tc>
          <w:tcPr>
            <w:tcW w:w="2790" w:type="dxa"/>
            <w:vAlign w:val="center"/>
          </w:tcPr>
          <w:p w14:paraId="416242F7" w14:textId="77777777" w:rsidR="00EB0FF1" w:rsidRPr="00B24BE2" w:rsidRDefault="00EB0FF1" w:rsidP="00230961">
            <w:pPr>
              <w:spacing w:before="0" w:after="0"/>
              <w:rPr>
                <w:sz w:val="22"/>
                <w:szCs w:val="20"/>
              </w:rPr>
            </w:pPr>
            <w:r w:rsidRPr="00B24BE2">
              <w:rPr>
                <w:sz w:val="22"/>
                <w:szCs w:val="20"/>
              </w:rPr>
              <w:t xml:space="preserve">If fluid </w:t>
            </w:r>
            <w:r>
              <w:rPr>
                <w:sz w:val="22"/>
                <w:szCs w:val="20"/>
              </w:rPr>
              <w:t xml:space="preserve">or indicator </w:t>
            </w:r>
            <w:r w:rsidRPr="00B24BE2">
              <w:rPr>
                <w:sz w:val="22"/>
                <w:szCs w:val="20"/>
              </w:rPr>
              <w:t>is at zero</w:t>
            </w:r>
            <w:r>
              <w:rPr>
                <w:sz w:val="22"/>
                <w:szCs w:val="20"/>
              </w:rPr>
              <w:t xml:space="preserve"> or substantially different</w:t>
            </w:r>
            <w:r w:rsidRPr="00B24BE2">
              <w:rPr>
                <w:sz w:val="22"/>
                <w:szCs w:val="20"/>
              </w:rPr>
              <w:t>, contact licensed installer.</w:t>
            </w:r>
          </w:p>
        </w:tc>
      </w:tr>
      <w:tr w:rsidR="00EB0FF1" w:rsidRPr="00B24BE2" w14:paraId="7BD31CBB" w14:textId="77777777" w:rsidTr="0062284D">
        <w:tc>
          <w:tcPr>
            <w:tcW w:w="3960" w:type="dxa"/>
            <w:vAlign w:val="center"/>
          </w:tcPr>
          <w:p w14:paraId="00587FF3" w14:textId="77777777" w:rsidR="00EB0FF1" w:rsidRPr="00B24BE2" w:rsidRDefault="00EB0FF1" w:rsidP="00230961">
            <w:pPr>
              <w:spacing w:before="0" w:after="0"/>
              <w:rPr>
                <w:sz w:val="22"/>
                <w:szCs w:val="20"/>
              </w:rPr>
            </w:pPr>
            <w:r w:rsidRPr="00B24BE2">
              <w:rPr>
                <w:sz w:val="22"/>
                <w:szCs w:val="20"/>
              </w:rPr>
              <w:t>Active notification monitor</w:t>
            </w:r>
          </w:p>
        </w:tc>
        <w:tc>
          <w:tcPr>
            <w:tcW w:w="2250" w:type="dxa"/>
            <w:vAlign w:val="center"/>
          </w:tcPr>
          <w:p w14:paraId="5E3145FF" w14:textId="77777777" w:rsidR="00EB0FF1" w:rsidRPr="00B24BE2" w:rsidRDefault="00EB0FF1" w:rsidP="00230961">
            <w:pPr>
              <w:spacing w:before="0" w:after="0"/>
              <w:rPr>
                <w:sz w:val="22"/>
                <w:szCs w:val="20"/>
              </w:rPr>
            </w:pPr>
          </w:p>
        </w:tc>
        <w:tc>
          <w:tcPr>
            <w:tcW w:w="5490" w:type="dxa"/>
            <w:vAlign w:val="center"/>
          </w:tcPr>
          <w:p w14:paraId="235734BC" w14:textId="77777777" w:rsidR="00EB0FF1" w:rsidRPr="00B24BE2" w:rsidRDefault="00EB0FF1" w:rsidP="00230961">
            <w:pPr>
              <w:spacing w:before="0" w:after="0"/>
              <w:rPr>
                <w:sz w:val="22"/>
                <w:szCs w:val="20"/>
              </w:rPr>
            </w:pPr>
            <w:r w:rsidRPr="00B24BE2">
              <w:rPr>
                <w:sz w:val="22"/>
                <w:szCs w:val="20"/>
              </w:rPr>
              <w:t>Verify monitor is attached, functional, battery/power source is active</w:t>
            </w:r>
          </w:p>
        </w:tc>
        <w:tc>
          <w:tcPr>
            <w:tcW w:w="2790" w:type="dxa"/>
            <w:vAlign w:val="center"/>
          </w:tcPr>
          <w:p w14:paraId="638EE424" w14:textId="77777777" w:rsidR="00EB0FF1" w:rsidRPr="00B24BE2" w:rsidRDefault="00EB0FF1" w:rsidP="00230961">
            <w:pPr>
              <w:spacing w:before="0" w:after="0"/>
              <w:rPr>
                <w:sz w:val="22"/>
                <w:szCs w:val="20"/>
              </w:rPr>
            </w:pPr>
            <w:r w:rsidRPr="00B24BE2">
              <w:rPr>
                <w:sz w:val="22"/>
                <w:szCs w:val="20"/>
              </w:rPr>
              <w:t>See monitor manual for specific functions</w:t>
            </w:r>
          </w:p>
        </w:tc>
      </w:tr>
      <w:tr w:rsidR="00EB0FF1" w:rsidRPr="00B24BE2" w14:paraId="064A0367" w14:textId="77777777" w:rsidTr="0062284D">
        <w:tc>
          <w:tcPr>
            <w:tcW w:w="3960" w:type="dxa"/>
            <w:vAlign w:val="center"/>
          </w:tcPr>
          <w:p w14:paraId="6D022219" w14:textId="77777777" w:rsidR="00EB0FF1" w:rsidRPr="00B24BE2" w:rsidRDefault="00EB0FF1" w:rsidP="00230961">
            <w:pPr>
              <w:spacing w:before="0" w:after="0"/>
              <w:rPr>
                <w:sz w:val="22"/>
                <w:szCs w:val="20"/>
              </w:rPr>
            </w:pPr>
            <w:r w:rsidRPr="00B24BE2">
              <w:rPr>
                <w:sz w:val="22"/>
                <w:szCs w:val="20"/>
              </w:rPr>
              <w:t>Pipe</w:t>
            </w:r>
          </w:p>
        </w:tc>
        <w:tc>
          <w:tcPr>
            <w:tcW w:w="2250" w:type="dxa"/>
            <w:vAlign w:val="center"/>
          </w:tcPr>
          <w:p w14:paraId="05E31624" w14:textId="77777777" w:rsidR="00EB0FF1" w:rsidRPr="00B24BE2" w:rsidRDefault="00EB0FF1" w:rsidP="00230961">
            <w:pPr>
              <w:spacing w:before="0" w:after="0"/>
              <w:rPr>
                <w:sz w:val="22"/>
                <w:szCs w:val="20"/>
              </w:rPr>
            </w:pPr>
          </w:p>
        </w:tc>
        <w:tc>
          <w:tcPr>
            <w:tcW w:w="5490" w:type="dxa"/>
            <w:vAlign w:val="center"/>
          </w:tcPr>
          <w:p w14:paraId="73D51CB2" w14:textId="77777777" w:rsidR="00EB0FF1" w:rsidRPr="00B24BE2" w:rsidRDefault="00EB0FF1" w:rsidP="00230961">
            <w:pPr>
              <w:spacing w:before="0" w:after="0"/>
              <w:rPr>
                <w:sz w:val="22"/>
                <w:szCs w:val="20"/>
              </w:rPr>
            </w:pPr>
            <w:r w:rsidRPr="00B24BE2">
              <w:rPr>
                <w:sz w:val="22"/>
                <w:szCs w:val="20"/>
              </w:rPr>
              <w:t>Ensure pipe is secured to bldg., labeled, sloped, not leaking or damaged, and exhaust flows freely</w:t>
            </w:r>
            <w:r>
              <w:rPr>
                <w:sz w:val="22"/>
                <w:szCs w:val="20"/>
              </w:rPr>
              <w:t>. Ensure pipe penetrations to exterior are sealed (roof or walls), and vent pipe termination point clearances have not changed.</w:t>
            </w:r>
          </w:p>
        </w:tc>
        <w:tc>
          <w:tcPr>
            <w:tcW w:w="2790" w:type="dxa"/>
            <w:vAlign w:val="center"/>
          </w:tcPr>
          <w:p w14:paraId="51BACCA7" w14:textId="77777777" w:rsidR="00EB0FF1" w:rsidRPr="00B24BE2" w:rsidRDefault="00EB0FF1" w:rsidP="00230961">
            <w:pPr>
              <w:spacing w:before="0" w:after="0"/>
              <w:rPr>
                <w:sz w:val="22"/>
                <w:szCs w:val="20"/>
              </w:rPr>
            </w:pPr>
            <w:r w:rsidRPr="00B24BE2">
              <w:rPr>
                <w:sz w:val="22"/>
                <w:szCs w:val="20"/>
              </w:rPr>
              <w:t>Contact licensed installer</w:t>
            </w:r>
          </w:p>
        </w:tc>
      </w:tr>
      <w:tr w:rsidR="00EB0FF1" w:rsidRPr="00B24BE2" w14:paraId="2C663CC0" w14:textId="77777777" w:rsidTr="00826E11">
        <w:trPr>
          <w:trHeight w:val="512"/>
        </w:trPr>
        <w:tc>
          <w:tcPr>
            <w:tcW w:w="3960" w:type="dxa"/>
            <w:vAlign w:val="center"/>
          </w:tcPr>
          <w:p w14:paraId="60714D00" w14:textId="77777777" w:rsidR="00EB0FF1" w:rsidRPr="00B24BE2" w:rsidRDefault="00EB0FF1" w:rsidP="00230961">
            <w:pPr>
              <w:spacing w:before="0" w:after="0"/>
              <w:rPr>
                <w:sz w:val="22"/>
                <w:szCs w:val="20"/>
              </w:rPr>
            </w:pPr>
            <w:r w:rsidRPr="00B24BE2">
              <w:rPr>
                <w:sz w:val="22"/>
                <w:szCs w:val="20"/>
              </w:rPr>
              <w:t>Pipe valves</w:t>
            </w:r>
          </w:p>
        </w:tc>
        <w:tc>
          <w:tcPr>
            <w:tcW w:w="2250" w:type="dxa"/>
            <w:vAlign w:val="center"/>
          </w:tcPr>
          <w:p w14:paraId="75A3D6E2" w14:textId="77777777" w:rsidR="00EB0FF1" w:rsidRPr="00B24BE2" w:rsidRDefault="00EB0FF1" w:rsidP="00230961">
            <w:pPr>
              <w:spacing w:before="0" w:after="0"/>
              <w:rPr>
                <w:sz w:val="22"/>
                <w:szCs w:val="20"/>
              </w:rPr>
            </w:pPr>
          </w:p>
        </w:tc>
        <w:tc>
          <w:tcPr>
            <w:tcW w:w="5490" w:type="dxa"/>
            <w:vAlign w:val="center"/>
          </w:tcPr>
          <w:p w14:paraId="29778CCC" w14:textId="77777777" w:rsidR="00EB0FF1" w:rsidRPr="00B24BE2" w:rsidRDefault="00EB0FF1" w:rsidP="00230961">
            <w:pPr>
              <w:spacing w:before="0" w:after="0"/>
              <w:rPr>
                <w:sz w:val="22"/>
                <w:szCs w:val="20"/>
              </w:rPr>
            </w:pPr>
            <w:r w:rsidRPr="00B24BE2">
              <w:rPr>
                <w:sz w:val="22"/>
                <w:szCs w:val="20"/>
              </w:rPr>
              <w:t>Verify proper setting</w:t>
            </w:r>
          </w:p>
        </w:tc>
        <w:tc>
          <w:tcPr>
            <w:tcW w:w="2790" w:type="dxa"/>
            <w:vAlign w:val="center"/>
          </w:tcPr>
          <w:p w14:paraId="6A6128C7" w14:textId="77777777" w:rsidR="00EB0FF1" w:rsidRPr="00B24BE2" w:rsidRDefault="00EB0FF1" w:rsidP="00230961">
            <w:pPr>
              <w:spacing w:before="0" w:after="0"/>
              <w:rPr>
                <w:sz w:val="22"/>
                <w:szCs w:val="20"/>
              </w:rPr>
            </w:pPr>
            <w:r w:rsidRPr="00B24BE2">
              <w:rPr>
                <w:sz w:val="22"/>
                <w:szCs w:val="20"/>
              </w:rPr>
              <w:t>Adjust to marked setting</w:t>
            </w:r>
          </w:p>
        </w:tc>
      </w:tr>
      <w:tr w:rsidR="00EB0FF1" w:rsidRPr="00B24BE2" w14:paraId="1D4F3EB9" w14:textId="77777777" w:rsidTr="0062284D">
        <w:tc>
          <w:tcPr>
            <w:tcW w:w="3960" w:type="dxa"/>
            <w:vAlign w:val="center"/>
          </w:tcPr>
          <w:p w14:paraId="69355F26" w14:textId="77777777" w:rsidR="00EB0FF1" w:rsidRPr="00B24BE2" w:rsidRDefault="00EB0FF1" w:rsidP="00230961">
            <w:pPr>
              <w:spacing w:before="0" w:after="0"/>
              <w:rPr>
                <w:sz w:val="22"/>
                <w:szCs w:val="20"/>
              </w:rPr>
            </w:pPr>
            <w:r w:rsidRPr="00B24BE2">
              <w:rPr>
                <w:sz w:val="22"/>
                <w:szCs w:val="20"/>
              </w:rPr>
              <w:t>Sump lids</w:t>
            </w:r>
          </w:p>
        </w:tc>
        <w:tc>
          <w:tcPr>
            <w:tcW w:w="2250" w:type="dxa"/>
            <w:vAlign w:val="center"/>
          </w:tcPr>
          <w:p w14:paraId="3F9026FF" w14:textId="77777777" w:rsidR="00EB0FF1" w:rsidRPr="00B24BE2" w:rsidRDefault="00EB0FF1" w:rsidP="00230961">
            <w:pPr>
              <w:spacing w:before="0" w:after="0"/>
              <w:rPr>
                <w:sz w:val="22"/>
                <w:szCs w:val="20"/>
              </w:rPr>
            </w:pPr>
          </w:p>
        </w:tc>
        <w:tc>
          <w:tcPr>
            <w:tcW w:w="5490" w:type="dxa"/>
            <w:vAlign w:val="center"/>
          </w:tcPr>
          <w:p w14:paraId="1834D796" w14:textId="77777777" w:rsidR="00EB0FF1" w:rsidRPr="00B24BE2" w:rsidRDefault="00EB0FF1" w:rsidP="00230961">
            <w:pPr>
              <w:spacing w:before="0" w:after="0"/>
              <w:rPr>
                <w:sz w:val="22"/>
                <w:szCs w:val="20"/>
              </w:rPr>
            </w:pPr>
            <w:r w:rsidRPr="00B24BE2">
              <w:rPr>
                <w:sz w:val="22"/>
                <w:szCs w:val="20"/>
              </w:rPr>
              <w:t>Check that lid is durable, labeled, sealed, and pumps are functional if installed</w:t>
            </w:r>
          </w:p>
        </w:tc>
        <w:tc>
          <w:tcPr>
            <w:tcW w:w="2790" w:type="dxa"/>
            <w:vAlign w:val="center"/>
          </w:tcPr>
          <w:p w14:paraId="3E3F4BE4" w14:textId="77777777" w:rsidR="00EB0FF1" w:rsidRPr="00B24BE2" w:rsidRDefault="00EB0FF1" w:rsidP="00230961">
            <w:pPr>
              <w:spacing w:before="0" w:after="0"/>
              <w:rPr>
                <w:sz w:val="22"/>
                <w:szCs w:val="20"/>
              </w:rPr>
            </w:pPr>
            <w:r w:rsidRPr="00B24BE2">
              <w:rPr>
                <w:sz w:val="22"/>
                <w:szCs w:val="20"/>
              </w:rPr>
              <w:t>Seal as necessary</w:t>
            </w:r>
          </w:p>
        </w:tc>
      </w:tr>
      <w:tr w:rsidR="00EB0FF1" w:rsidRPr="00B24BE2" w14:paraId="744BEE7C" w14:textId="77777777" w:rsidTr="0062284D">
        <w:tc>
          <w:tcPr>
            <w:tcW w:w="3960" w:type="dxa"/>
            <w:vAlign w:val="center"/>
          </w:tcPr>
          <w:p w14:paraId="04261155" w14:textId="77777777" w:rsidR="00EB0FF1" w:rsidRPr="00B24BE2" w:rsidRDefault="00EB0FF1" w:rsidP="00230961">
            <w:pPr>
              <w:spacing w:before="0" w:after="0"/>
              <w:rPr>
                <w:sz w:val="22"/>
                <w:szCs w:val="20"/>
              </w:rPr>
            </w:pPr>
            <w:r w:rsidRPr="00B24BE2">
              <w:rPr>
                <w:sz w:val="22"/>
                <w:szCs w:val="20"/>
              </w:rPr>
              <w:t>Sealing (suction points, floor/wall joints, large openings, utility penetrations, block walls if depressurized)</w:t>
            </w:r>
          </w:p>
        </w:tc>
        <w:tc>
          <w:tcPr>
            <w:tcW w:w="2250" w:type="dxa"/>
            <w:vAlign w:val="center"/>
          </w:tcPr>
          <w:p w14:paraId="4373A05A" w14:textId="77777777" w:rsidR="00EB0FF1" w:rsidRPr="00B24BE2" w:rsidRDefault="00EB0FF1" w:rsidP="00230961">
            <w:pPr>
              <w:spacing w:before="0" w:after="0"/>
              <w:rPr>
                <w:sz w:val="22"/>
                <w:szCs w:val="20"/>
              </w:rPr>
            </w:pPr>
          </w:p>
        </w:tc>
        <w:tc>
          <w:tcPr>
            <w:tcW w:w="5490" w:type="dxa"/>
            <w:vAlign w:val="center"/>
          </w:tcPr>
          <w:p w14:paraId="45DB788F" w14:textId="77777777" w:rsidR="00EB0FF1" w:rsidRPr="00B24BE2" w:rsidRDefault="00EB0FF1" w:rsidP="00230961">
            <w:pPr>
              <w:spacing w:before="0" w:after="0"/>
              <w:rPr>
                <w:sz w:val="22"/>
                <w:szCs w:val="20"/>
              </w:rPr>
            </w:pPr>
            <w:r w:rsidRPr="00B24BE2">
              <w:rPr>
                <w:sz w:val="22"/>
                <w:szCs w:val="20"/>
              </w:rPr>
              <w:t>Ensure any sealing is still sufficient and no new openings have occurred</w:t>
            </w:r>
          </w:p>
        </w:tc>
        <w:tc>
          <w:tcPr>
            <w:tcW w:w="2790" w:type="dxa"/>
            <w:vAlign w:val="center"/>
          </w:tcPr>
          <w:p w14:paraId="0FACD3F4" w14:textId="77777777" w:rsidR="00EB0FF1" w:rsidRPr="00B24BE2" w:rsidRDefault="00EB0FF1" w:rsidP="00230961">
            <w:pPr>
              <w:spacing w:before="0" w:after="0"/>
              <w:rPr>
                <w:sz w:val="22"/>
                <w:szCs w:val="20"/>
              </w:rPr>
            </w:pPr>
            <w:r w:rsidRPr="00B24BE2">
              <w:rPr>
                <w:sz w:val="22"/>
                <w:szCs w:val="20"/>
              </w:rPr>
              <w:t>Seal as necessary</w:t>
            </w:r>
          </w:p>
        </w:tc>
      </w:tr>
      <w:tr w:rsidR="00EB0FF1" w14:paraId="71F8BAC5" w14:textId="77777777" w:rsidTr="0062284D">
        <w:tc>
          <w:tcPr>
            <w:tcW w:w="3960" w:type="dxa"/>
            <w:vAlign w:val="center"/>
          </w:tcPr>
          <w:p w14:paraId="200909C1" w14:textId="77777777" w:rsidR="00EB0FF1" w:rsidRPr="00B24BE2" w:rsidRDefault="00EB0FF1" w:rsidP="00230961">
            <w:pPr>
              <w:spacing w:before="0" w:after="0"/>
              <w:rPr>
                <w:sz w:val="22"/>
                <w:szCs w:val="20"/>
              </w:rPr>
            </w:pPr>
            <w:r w:rsidRPr="00B24BE2">
              <w:rPr>
                <w:sz w:val="22"/>
                <w:szCs w:val="20"/>
              </w:rPr>
              <w:t>Crawlspace Membrane</w:t>
            </w:r>
          </w:p>
        </w:tc>
        <w:tc>
          <w:tcPr>
            <w:tcW w:w="2250" w:type="dxa"/>
            <w:vAlign w:val="center"/>
          </w:tcPr>
          <w:p w14:paraId="15C7EA96" w14:textId="77777777" w:rsidR="00EB0FF1" w:rsidRPr="00B24BE2" w:rsidRDefault="00EB0FF1" w:rsidP="00230961">
            <w:pPr>
              <w:spacing w:before="0" w:after="0"/>
              <w:rPr>
                <w:sz w:val="22"/>
                <w:szCs w:val="20"/>
              </w:rPr>
            </w:pPr>
          </w:p>
        </w:tc>
        <w:tc>
          <w:tcPr>
            <w:tcW w:w="5490" w:type="dxa"/>
            <w:vAlign w:val="center"/>
          </w:tcPr>
          <w:p w14:paraId="317F3C2F" w14:textId="77777777" w:rsidR="00EB0FF1" w:rsidRPr="00B24BE2" w:rsidRDefault="00EB0FF1" w:rsidP="00230961">
            <w:pPr>
              <w:spacing w:before="0" w:after="0"/>
              <w:rPr>
                <w:sz w:val="22"/>
                <w:szCs w:val="20"/>
              </w:rPr>
            </w:pPr>
            <w:r w:rsidRPr="00B24BE2">
              <w:rPr>
                <w:sz w:val="22"/>
                <w:szCs w:val="20"/>
              </w:rPr>
              <w:t>Membrane labeled, sealed a</w:t>
            </w:r>
            <w:r>
              <w:rPr>
                <w:sz w:val="22"/>
                <w:szCs w:val="20"/>
              </w:rPr>
              <w:t>t</w:t>
            </w:r>
            <w:r w:rsidRPr="00B24BE2">
              <w:rPr>
                <w:sz w:val="22"/>
                <w:szCs w:val="20"/>
              </w:rPr>
              <w:t xml:space="preserve"> perimeter and penetrations, and in good condition. No standing water. Suction point free of obstructions and sealed to membrane</w:t>
            </w:r>
          </w:p>
        </w:tc>
        <w:tc>
          <w:tcPr>
            <w:tcW w:w="2790" w:type="dxa"/>
            <w:vAlign w:val="center"/>
          </w:tcPr>
          <w:p w14:paraId="793499AF" w14:textId="77777777" w:rsidR="00EB0FF1" w:rsidRPr="00B24BE2" w:rsidRDefault="00EB0FF1" w:rsidP="00230961">
            <w:pPr>
              <w:spacing w:before="0" w:after="0"/>
              <w:rPr>
                <w:sz w:val="22"/>
                <w:szCs w:val="20"/>
              </w:rPr>
            </w:pPr>
            <w:r w:rsidRPr="00B24BE2">
              <w:rPr>
                <w:sz w:val="22"/>
                <w:szCs w:val="20"/>
              </w:rPr>
              <w:t>Contact licensed installer</w:t>
            </w:r>
          </w:p>
        </w:tc>
      </w:tr>
      <w:tr w:rsidR="00EB0FF1" w14:paraId="19BA7950" w14:textId="77777777" w:rsidTr="0062284D">
        <w:tc>
          <w:tcPr>
            <w:tcW w:w="3960" w:type="dxa"/>
            <w:vAlign w:val="center"/>
          </w:tcPr>
          <w:p w14:paraId="6E21FC7E" w14:textId="77777777" w:rsidR="00EB0FF1" w:rsidRPr="00B24BE2" w:rsidRDefault="00EB0FF1" w:rsidP="00230961">
            <w:pPr>
              <w:spacing w:before="0" w:after="0"/>
              <w:rPr>
                <w:sz w:val="22"/>
                <w:szCs w:val="20"/>
              </w:rPr>
            </w:pPr>
            <w:r w:rsidRPr="00B24BE2">
              <w:rPr>
                <w:sz w:val="22"/>
                <w:szCs w:val="20"/>
              </w:rPr>
              <w:t>Permanent PFE test ports</w:t>
            </w:r>
            <w:r>
              <w:rPr>
                <w:sz w:val="22"/>
                <w:szCs w:val="20"/>
              </w:rPr>
              <w:t xml:space="preserve"> (if applicable)</w:t>
            </w:r>
          </w:p>
        </w:tc>
        <w:tc>
          <w:tcPr>
            <w:tcW w:w="2250" w:type="dxa"/>
            <w:vAlign w:val="center"/>
          </w:tcPr>
          <w:p w14:paraId="28E06164" w14:textId="77777777" w:rsidR="00EB0FF1" w:rsidRPr="00B24BE2" w:rsidRDefault="00EB0FF1" w:rsidP="00230961">
            <w:pPr>
              <w:spacing w:before="0" w:after="0"/>
              <w:rPr>
                <w:sz w:val="22"/>
                <w:szCs w:val="20"/>
              </w:rPr>
            </w:pPr>
          </w:p>
        </w:tc>
        <w:tc>
          <w:tcPr>
            <w:tcW w:w="5490" w:type="dxa"/>
            <w:vAlign w:val="center"/>
          </w:tcPr>
          <w:p w14:paraId="4304F74B" w14:textId="77777777" w:rsidR="00EB0FF1" w:rsidRPr="00B24BE2" w:rsidRDefault="00EB0FF1" w:rsidP="00230961">
            <w:pPr>
              <w:spacing w:before="0" w:after="0"/>
              <w:rPr>
                <w:sz w:val="22"/>
                <w:szCs w:val="20"/>
              </w:rPr>
            </w:pPr>
            <w:r w:rsidRPr="00B24BE2">
              <w:rPr>
                <w:sz w:val="22"/>
                <w:szCs w:val="20"/>
              </w:rPr>
              <w:t>Check pressure as needed. Verify ports are not damaged</w:t>
            </w:r>
            <w:r>
              <w:rPr>
                <w:sz w:val="22"/>
                <w:szCs w:val="20"/>
              </w:rPr>
              <w:t>. Ensure appropriate closure</w:t>
            </w:r>
            <w:r w:rsidRPr="00B24BE2">
              <w:rPr>
                <w:sz w:val="22"/>
                <w:szCs w:val="20"/>
              </w:rPr>
              <w:t>.</w:t>
            </w:r>
          </w:p>
        </w:tc>
        <w:tc>
          <w:tcPr>
            <w:tcW w:w="2790" w:type="dxa"/>
            <w:vAlign w:val="center"/>
          </w:tcPr>
          <w:p w14:paraId="308FDA67" w14:textId="77777777" w:rsidR="00EB0FF1" w:rsidRPr="00B24BE2" w:rsidRDefault="00EB0FF1" w:rsidP="00230961">
            <w:pPr>
              <w:spacing w:before="0" w:after="0"/>
              <w:rPr>
                <w:sz w:val="22"/>
                <w:szCs w:val="20"/>
              </w:rPr>
            </w:pPr>
            <w:r w:rsidRPr="00B24BE2">
              <w:rPr>
                <w:sz w:val="22"/>
                <w:szCs w:val="20"/>
              </w:rPr>
              <w:t>Contact licensed installer</w:t>
            </w:r>
          </w:p>
        </w:tc>
      </w:tr>
      <w:tr w:rsidR="00EB0FF1" w14:paraId="4FFDBD8A" w14:textId="77777777" w:rsidTr="0062284D">
        <w:tc>
          <w:tcPr>
            <w:tcW w:w="3960" w:type="dxa"/>
            <w:vAlign w:val="center"/>
          </w:tcPr>
          <w:p w14:paraId="21CCA803" w14:textId="77777777" w:rsidR="00EB0FF1" w:rsidRPr="00B24BE2" w:rsidRDefault="00EB0FF1" w:rsidP="00230961">
            <w:pPr>
              <w:spacing w:before="0" w:after="0"/>
              <w:rPr>
                <w:sz w:val="22"/>
                <w:szCs w:val="20"/>
              </w:rPr>
            </w:pPr>
            <w:r w:rsidRPr="00B24BE2">
              <w:rPr>
                <w:sz w:val="22"/>
                <w:szCs w:val="20"/>
              </w:rPr>
              <w:t>Air-exchanger</w:t>
            </w:r>
          </w:p>
        </w:tc>
        <w:tc>
          <w:tcPr>
            <w:tcW w:w="2250" w:type="dxa"/>
            <w:vAlign w:val="center"/>
          </w:tcPr>
          <w:p w14:paraId="43564C89" w14:textId="77777777" w:rsidR="00EB0FF1" w:rsidRPr="00B24BE2" w:rsidRDefault="00EB0FF1" w:rsidP="00230961">
            <w:pPr>
              <w:spacing w:before="0" w:after="0"/>
              <w:rPr>
                <w:sz w:val="22"/>
                <w:szCs w:val="20"/>
              </w:rPr>
            </w:pPr>
          </w:p>
        </w:tc>
        <w:tc>
          <w:tcPr>
            <w:tcW w:w="5490" w:type="dxa"/>
            <w:vAlign w:val="center"/>
          </w:tcPr>
          <w:p w14:paraId="60C30E9E" w14:textId="77777777" w:rsidR="00EB0FF1" w:rsidRPr="00B24BE2" w:rsidRDefault="00EB0FF1" w:rsidP="00230961">
            <w:pPr>
              <w:spacing w:before="0" w:after="0"/>
              <w:rPr>
                <w:sz w:val="22"/>
                <w:szCs w:val="20"/>
              </w:rPr>
            </w:pPr>
            <w:r w:rsidRPr="00B24BE2">
              <w:rPr>
                <w:sz w:val="22"/>
                <w:szCs w:val="20"/>
              </w:rPr>
              <w:t>Verify it is functional. Check for proper setting. Check filters and air inlets.</w:t>
            </w:r>
          </w:p>
        </w:tc>
        <w:tc>
          <w:tcPr>
            <w:tcW w:w="2790" w:type="dxa"/>
            <w:vAlign w:val="center"/>
          </w:tcPr>
          <w:p w14:paraId="36149DFD" w14:textId="77777777" w:rsidR="00EB0FF1" w:rsidRPr="00B24BE2" w:rsidRDefault="00EB0FF1" w:rsidP="00230961">
            <w:pPr>
              <w:spacing w:before="0" w:after="0"/>
              <w:rPr>
                <w:sz w:val="22"/>
                <w:szCs w:val="20"/>
              </w:rPr>
            </w:pPr>
            <w:r w:rsidRPr="00B24BE2">
              <w:rPr>
                <w:sz w:val="22"/>
                <w:szCs w:val="20"/>
              </w:rPr>
              <w:t>Clean or replace filters</w:t>
            </w:r>
            <w:r>
              <w:rPr>
                <w:sz w:val="22"/>
                <w:szCs w:val="20"/>
              </w:rPr>
              <w:t xml:space="preserve"> and inlets</w:t>
            </w:r>
            <w:r w:rsidRPr="00B24BE2">
              <w:rPr>
                <w:sz w:val="22"/>
                <w:szCs w:val="20"/>
              </w:rPr>
              <w:t>. Adjust settings and call a service professional if needed.</w:t>
            </w:r>
          </w:p>
        </w:tc>
      </w:tr>
      <w:tr w:rsidR="00EB0FF1" w14:paraId="4F1874BF" w14:textId="77777777" w:rsidTr="00826E11">
        <w:trPr>
          <w:trHeight w:val="557"/>
        </w:trPr>
        <w:tc>
          <w:tcPr>
            <w:tcW w:w="3960" w:type="dxa"/>
            <w:vAlign w:val="center"/>
          </w:tcPr>
          <w:p w14:paraId="545D2DAD" w14:textId="77777777" w:rsidR="00EB0FF1" w:rsidRPr="00B24BE2" w:rsidRDefault="00EB0FF1" w:rsidP="00230961">
            <w:pPr>
              <w:spacing w:before="0" w:after="0"/>
              <w:rPr>
                <w:sz w:val="22"/>
                <w:szCs w:val="20"/>
              </w:rPr>
            </w:pPr>
            <w:r w:rsidRPr="00B24BE2">
              <w:rPr>
                <w:sz w:val="22"/>
                <w:szCs w:val="20"/>
              </w:rPr>
              <w:t xml:space="preserve">Check combustion appliances </w:t>
            </w:r>
          </w:p>
        </w:tc>
        <w:tc>
          <w:tcPr>
            <w:tcW w:w="2250" w:type="dxa"/>
            <w:vAlign w:val="center"/>
          </w:tcPr>
          <w:p w14:paraId="15AE17D2" w14:textId="77777777" w:rsidR="00EB0FF1" w:rsidRPr="00B24BE2" w:rsidRDefault="00EB0FF1" w:rsidP="00230961">
            <w:pPr>
              <w:spacing w:before="0" w:after="0"/>
              <w:rPr>
                <w:sz w:val="22"/>
                <w:szCs w:val="20"/>
              </w:rPr>
            </w:pPr>
          </w:p>
        </w:tc>
        <w:tc>
          <w:tcPr>
            <w:tcW w:w="5490" w:type="dxa"/>
            <w:vAlign w:val="center"/>
          </w:tcPr>
          <w:p w14:paraId="52D4A230" w14:textId="77777777" w:rsidR="00EB0FF1" w:rsidRPr="00B24BE2" w:rsidRDefault="00EB0FF1" w:rsidP="00230961">
            <w:pPr>
              <w:spacing w:before="0" w:after="0"/>
              <w:rPr>
                <w:sz w:val="22"/>
                <w:szCs w:val="20"/>
              </w:rPr>
            </w:pPr>
            <w:r w:rsidRPr="00B24BE2">
              <w:rPr>
                <w:sz w:val="22"/>
                <w:szCs w:val="20"/>
              </w:rPr>
              <w:t>Check combustion appliances for signs of backdrafting</w:t>
            </w:r>
          </w:p>
        </w:tc>
        <w:tc>
          <w:tcPr>
            <w:tcW w:w="2790" w:type="dxa"/>
            <w:vAlign w:val="center"/>
          </w:tcPr>
          <w:p w14:paraId="425EEF8B" w14:textId="77777777" w:rsidR="00EB0FF1" w:rsidRPr="00B24BE2" w:rsidRDefault="00EB0FF1" w:rsidP="00230961">
            <w:pPr>
              <w:spacing w:before="0" w:after="0"/>
              <w:rPr>
                <w:sz w:val="22"/>
                <w:szCs w:val="20"/>
              </w:rPr>
            </w:pPr>
            <w:r w:rsidRPr="00B24BE2">
              <w:rPr>
                <w:sz w:val="22"/>
                <w:szCs w:val="20"/>
              </w:rPr>
              <w:t>Contact HVAC professional</w:t>
            </w:r>
          </w:p>
        </w:tc>
      </w:tr>
    </w:tbl>
    <w:p w14:paraId="67C4B015" w14:textId="77777777" w:rsidR="0062284D" w:rsidRDefault="0062284D" w:rsidP="0062284D">
      <w:pPr>
        <w:spacing w:before="0" w:after="240"/>
      </w:pPr>
    </w:p>
    <w:p w14:paraId="7843A7A3" w14:textId="57F92EF4" w:rsidR="00EB0FF1" w:rsidRDefault="00EB0FF1" w:rsidP="0052170B">
      <w:pPr>
        <w:suppressAutoHyphens w:val="0"/>
        <w:spacing w:before="0" w:after="0"/>
      </w:pPr>
      <w:r w:rsidRPr="00B24BE2">
        <w:lastRenderedPageBreak/>
        <w:t xml:space="preserve">Stewardship obligations require correction and repair of any conditions that are found to indicate component failure or inconsistencies in operating parameters. All maintenance logs, records of repairs, and measurement reports for radon and soil gas concentrations should be retained in the OM&amp;M manual. </w:t>
      </w:r>
    </w:p>
    <w:p w14:paraId="2D80DF53" w14:textId="216770BF" w:rsidR="0062284D" w:rsidRPr="00835BB6" w:rsidRDefault="0062284D" w:rsidP="00835BB6">
      <w:pPr>
        <w:pStyle w:val="TableorChartTitle"/>
        <w:spacing w:before="120"/>
      </w:pPr>
      <w:r w:rsidRPr="00835BB6">
        <w:t>Maintenance Log for ASD Mitigation Systems</w:t>
      </w:r>
    </w:p>
    <w:tbl>
      <w:tblPr>
        <w:tblStyle w:val="TableGrid"/>
        <w:tblW w:w="1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070"/>
        <w:gridCol w:w="9000"/>
      </w:tblGrid>
      <w:tr w:rsidR="00EB0FF1" w14:paraId="3FA55B3B" w14:textId="77777777" w:rsidTr="00CB78CA">
        <w:trPr>
          <w:tblHeader/>
        </w:trPr>
        <w:tc>
          <w:tcPr>
            <w:tcW w:w="3325" w:type="dxa"/>
            <w:tcBorders>
              <w:bottom w:val="single" w:sz="4" w:space="0" w:color="auto"/>
            </w:tcBorders>
          </w:tcPr>
          <w:p w14:paraId="568319C4" w14:textId="77777777" w:rsidR="00EB0FF1" w:rsidRDefault="00EB0FF1" w:rsidP="00CB78CA">
            <w:pPr>
              <w:rPr>
                <w:b/>
                <w:bCs/>
              </w:rPr>
            </w:pPr>
            <w:r>
              <w:rPr>
                <w:b/>
                <w:bCs/>
              </w:rPr>
              <w:t>Inspection performed by</w:t>
            </w:r>
          </w:p>
        </w:tc>
        <w:tc>
          <w:tcPr>
            <w:tcW w:w="2070" w:type="dxa"/>
            <w:tcBorders>
              <w:bottom w:val="single" w:sz="4" w:space="0" w:color="auto"/>
            </w:tcBorders>
          </w:tcPr>
          <w:p w14:paraId="7E805049" w14:textId="2A4F95BA" w:rsidR="00EB0FF1" w:rsidRDefault="00EB0FF1" w:rsidP="00CB78CA">
            <w:pPr>
              <w:rPr>
                <w:b/>
                <w:bCs/>
              </w:rPr>
            </w:pPr>
            <w:r>
              <w:rPr>
                <w:b/>
                <w:bCs/>
              </w:rPr>
              <w:t>Date of inspection</w:t>
            </w:r>
          </w:p>
        </w:tc>
        <w:tc>
          <w:tcPr>
            <w:tcW w:w="9000" w:type="dxa"/>
            <w:tcBorders>
              <w:bottom w:val="single" w:sz="4" w:space="0" w:color="auto"/>
            </w:tcBorders>
          </w:tcPr>
          <w:p w14:paraId="1B9509CA" w14:textId="77777777" w:rsidR="00EB0FF1" w:rsidRDefault="00EB0FF1" w:rsidP="00CB78CA">
            <w:pPr>
              <w:rPr>
                <w:b/>
                <w:bCs/>
              </w:rPr>
            </w:pPr>
            <w:r>
              <w:rPr>
                <w:b/>
                <w:bCs/>
              </w:rPr>
              <w:t>Notes - Identification of deficiencies found and actions taken</w:t>
            </w:r>
          </w:p>
        </w:tc>
      </w:tr>
      <w:tr w:rsidR="00EB0FF1" w14:paraId="01E91BF5" w14:textId="77777777" w:rsidTr="00835BB6">
        <w:tc>
          <w:tcPr>
            <w:tcW w:w="3325" w:type="dxa"/>
            <w:tcBorders>
              <w:top w:val="single" w:sz="4" w:space="0" w:color="auto"/>
              <w:left w:val="single" w:sz="4" w:space="0" w:color="auto"/>
              <w:bottom w:val="single" w:sz="4" w:space="0" w:color="auto"/>
              <w:right w:val="single" w:sz="4" w:space="0" w:color="auto"/>
            </w:tcBorders>
            <w:vAlign w:val="center"/>
          </w:tcPr>
          <w:p w14:paraId="45A9BFE6" w14:textId="77777777" w:rsidR="00EB0FF1" w:rsidRDefault="00EB0FF1" w:rsidP="00835BB6">
            <w:pPr>
              <w:rPr>
                <w:b/>
                <w:bCs/>
              </w:rPr>
            </w:pPr>
          </w:p>
        </w:tc>
        <w:tc>
          <w:tcPr>
            <w:tcW w:w="2070" w:type="dxa"/>
            <w:tcBorders>
              <w:top w:val="single" w:sz="4" w:space="0" w:color="auto"/>
              <w:left w:val="single" w:sz="4" w:space="0" w:color="auto"/>
              <w:bottom w:val="single" w:sz="4" w:space="0" w:color="auto"/>
              <w:right w:val="single" w:sz="4" w:space="0" w:color="auto"/>
            </w:tcBorders>
          </w:tcPr>
          <w:p w14:paraId="1C33AFC0" w14:textId="77777777" w:rsidR="00EB0FF1" w:rsidRDefault="00EB0FF1" w:rsidP="00835BB6">
            <w:pPr>
              <w:jc w:val="center"/>
              <w:rPr>
                <w:b/>
                <w:bCs/>
              </w:rPr>
            </w:pPr>
          </w:p>
        </w:tc>
        <w:tc>
          <w:tcPr>
            <w:tcW w:w="9000" w:type="dxa"/>
            <w:tcBorders>
              <w:top w:val="single" w:sz="4" w:space="0" w:color="auto"/>
              <w:left w:val="single" w:sz="4" w:space="0" w:color="auto"/>
              <w:bottom w:val="single" w:sz="4" w:space="0" w:color="auto"/>
              <w:right w:val="single" w:sz="4" w:space="0" w:color="auto"/>
            </w:tcBorders>
            <w:vAlign w:val="center"/>
          </w:tcPr>
          <w:p w14:paraId="05EA2063" w14:textId="77777777" w:rsidR="00EB0FF1" w:rsidRDefault="00EB0FF1" w:rsidP="00835BB6">
            <w:pPr>
              <w:rPr>
                <w:b/>
                <w:bCs/>
              </w:rPr>
            </w:pPr>
          </w:p>
        </w:tc>
      </w:tr>
      <w:tr w:rsidR="00EB0FF1" w14:paraId="5856A4D4" w14:textId="77777777" w:rsidTr="00835BB6">
        <w:tc>
          <w:tcPr>
            <w:tcW w:w="3325" w:type="dxa"/>
            <w:tcBorders>
              <w:top w:val="single" w:sz="4" w:space="0" w:color="auto"/>
              <w:left w:val="single" w:sz="4" w:space="0" w:color="auto"/>
              <w:bottom w:val="single" w:sz="4" w:space="0" w:color="auto"/>
              <w:right w:val="single" w:sz="4" w:space="0" w:color="auto"/>
            </w:tcBorders>
            <w:vAlign w:val="center"/>
          </w:tcPr>
          <w:p w14:paraId="66E23D00" w14:textId="77777777" w:rsidR="00EB0FF1" w:rsidRDefault="00EB0FF1" w:rsidP="00835BB6">
            <w:pPr>
              <w:rPr>
                <w:b/>
                <w:bCs/>
              </w:rPr>
            </w:pPr>
          </w:p>
        </w:tc>
        <w:tc>
          <w:tcPr>
            <w:tcW w:w="2070" w:type="dxa"/>
            <w:tcBorders>
              <w:top w:val="single" w:sz="4" w:space="0" w:color="auto"/>
              <w:left w:val="single" w:sz="4" w:space="0" w:color="auto"/>
              <w:bottom w:val="single" w:sz="4" w:space="0" w:color="auto"/>
              <w:right w:val="single" w:sz="4" w:space="0" w:color="auto"/>
            </w:tcBorders>
          </w:tcPr>
          <w:p w14:paraId="104B0F48" w14:textId="77777777" w:rsidR="00EB0FF1" w:rsidRDefault="00EB0FF1" w:rsidP="00835BB6">
            <w:pPr>
              <w:jc w:val="center"/>
              <w:rPr>
                <w:b/>
                <w:bCs/>
              </w:rPr>
            </w:pPr>
          </w:p>
        </w:tc>
        <w:tc>
          <w:tcPr>
            <w:tcW w:w="9000" w:type="dxa"/>
            <w:tcBorders>
              <w:top w:val="single" w:sz="4" w:space="0" w:color="auto"/>
              <w:left w:val="single" w:sz="4" w:space="0" w:color="auto"/>
              <w:bottom w:val="single" w:sz="4" w:space="0" w:color="auto"/>
              <w:right w:val="single" w:sz="4" w:space="0" w:color="auto"/>
            </w:tcBorders>
            <w:vAlign w:val="center"/>
          </w:tcPr>
          <w:p w14:paraId="2A960550" w14:textId="77777777" w:rsidR="00EB0FF1" w:rsidRDefault="00EB0FF1" w:rsidP="00835BB6">
            <w:pPr>
              <w:rPr>
                <w:b/>
                <w:bCs/>
              </w:rPr>
            </w:pPr>
          </w:p>
        </w:tc>
      </w:tr>
      <w:tr w:rsidR="00EB0FF1" w14:paraId="253ED529" w14:textId="77777777" w:rsidTr="00835BB6">
        <w:tc>
          <w:tcPr>
            <w:tcW w:w="3325" w:type="dxa"/>
            <w:tcBorders>
              <w:top w:val="single" w:sz="4" w:space="0" w:color="auto"/>
              <w:left w:val="single" w:sz="4" w:space="0" w:color="auto"/>
              <w:bottom w:val="single" w:sz="4" w:space="0" w:color="auto"/>
              <w:right w:val="single" w:sz="4" w:space="0" w:color="auto"/>
            </w:tcBorders>
            <w:vAlign w:val="center"/>
          </w:tcPr>
          <w:p w14:paraId="0EFE3FE5" w14:textId="77777777" w:rsidR="00EB0FF1" w:rsidRDefault="00EB0FF1" w:rsidP="00835BB6">
            <w:pPr>
              <w:rPr>
                <w:b/>
                <w:bCs/>
              </w:rPr>
            </w:pPr>
          </w:p>
        </w:tc>
        <w:tc>
          <w:tcPr>
            <w:tcW w:w="2070" w:type="dxa"/>
            <w:tcBorders>
              <w:top w:val="single" w:sz="4" w:space="0" w:color="auto"/>
              <w:left w:val="single" w:sz="4" w:space="0" w:color="auto"/>
              <w:bottom w:val="single" w:sz="4" w:space="0" w:color="auto"/>
              <w:right w:val="single" w:sz="4" w:space="0" w:color="auto"/>
            </w:tcBorders>
          </w:tcPr>
          <w:p w14:paraId="4AE5F6BA" w14:textId="77777777" w:rsidR="00EB0FF1" w:rsidRDefault="00EB0FF1" w:rsidP="00835BB6">
            <w:pPr>
              <w:jc w:val="center"/>
              <w:rPr>
                <w:b/>
                <w:bCs/>
              </w:rPr>
            </w:pPr>
          </w:p>
        </w:tc>
        <w:tc>
          <w:tcPr>
            <w:tcW w:w="9000" w:type="dxa"/>
            <w:tcBorders>
              <w:top w:val="single" w:sz="4" w:space="0" w:color="auto"/>
              <w:left w:val="single" w:sz="4" w:space="0" w:color="auto"/>
              <w:bottom w:val="single" w:sz="4" w:space="0" w:color="auto"/>
              <w:right w:val="single" w:sz="4" w:space="0" w:color="auto"/>
            </w:tcBorders>
            <w:vAlign w:val="center"/>
          </w:tcPr>
          <w:p w14:paraId="733722CC" w14:textId="77777777" w:rsidR="00EB0FF1" w:rsidRDefault="00EB0FF1" w:rsidP="00835BB6">
            <w:pPr>
              <w:rPr>
                <w:b/>
                <w:bCs/>
              </w:rPr>
            </w:pPr>
          </w:p>
        </w:tc>
      </w:tr>
      <w:tr w:rsidR="00EB0FF1" w14:paraId="1241D724" w14:textId="77777777" w:rsidTr="00835BB6">
        <w:tc>
          <w:tcPr>
            <w:tcW w:w="3325" w:type="dxa"/>
            <w:tcBorders>
              <w:top w:val="single" w:sz="4" w:space="0" w:color="auto"/>
              <w:left w:val="single" w:sz="4" w:space="0" w:color="auto"/>
              <w:bottom w:val="single" w:sz="4" w:space="0" w:color="auto"/>
              <w:right w:val="single" w:sz="4" w:space="0" w:color="auto"/>
            </w:tcBorders>
            <w:vAlign w:val="center"/>
          </w:tcPr>
          <w:p w14:paraId="768452D8" w14:textId="77777777" w:rsidR="00EB0FF1" w:rsidRDefault="00EB0FF1" w:rsidP="00835BB6">
            <w:pPr>
              <w:rPr>
                <w:b/>
                <w:bCs/>
              </w:rPr>
            </w:pPr>
          </w:p>
        </w:tc>
        <w:tc>
          <w:tcPr>
            <w:tcW w:w="2070" w:type="dxa"/>
            <w:tcBorders>
              <w:top w:val="single" w:sz="4" w:space="0" w:color="auto"/>
              <w:left w:val="single" w:sz="4" w:space="0" w:color="auto"/>
              <w:bottom w:val="single" w:sz="4" w:space="0" w:color="auto"/>
              <w:right w:val="single" w:sz="4" w:space="0" w:color="auto"/>
            </w:tcBorders>
          </w:tcPr>
          <w:p w14:paraId="4D6B1736" w14:textId="77777777" w:rsidR="00EB0FF1" w:rsidRDefault="00EB0FF1" w:rsidP="00835BB6">
            <w:pPr>
              <w:jc w:val="center"/>
              <w:rPr>
                <w:b/>
                <w:bCs/>
              </w:rPr>
            </w:pPr>
          </w:p>
        </w:tc>
        <w:tc>
          <w:tcPr>
            <w:tcW w:w="9000" w:type="dxa"/>
            <w:tcBorders>
              <w:top w:val="single" w:sz="4" w:space="0" w:color="auto"/>
              <w:left w:val="single" w:sz="4" w:space="0" w:color="auto"/>
              <w:bottom w:val="single" w:sz="4" w:space="0" w:color="auto"/>
              <w:right w:val="single" w:sz="4" w:space="0" w:color="auto"/>
            </w:tcBorders>
            <w:vAlign w:val="center"/>
          </w:tcPr>
          <w:p w14:paraId="20665E71" w14:textId="77777777" w:rsidR="00EB0FF1" w:rsidRDefault="00EB0FF1" w:rsidP="00835BB6">
            <w:pPr>
              <w:rPr>
                <w:b/>
                <w:bCs/>
              </w:rPr>
            </w:pPr>
          </w:p>
        </w:tc>
      </w:tr>
      <w:tr w:rsidR="00EB0FF1" w14:paraId="089B79E0" w14:textId="77777777" w:rsidTr="00835BB6">
        <w:tc>
          <w:tcPr>
            <w:tcW w:w="3325" w:type="dxa"/>
            <w:tcBorders>
              <w:top w:val="single" w:sz="4" w:space="0" w:color="auto"/>
              <w:left w:val="single" w:sz="4" w:space="0" w:color="auto"/>
              <w:bottom w:val="single" w:sz="4" w:space="0" w:color="auto"/>
              <w:right w:val="single" w:sz="4" w:space="0" w:color="auto"/>
            </w:tcBorders>
            <w:vAlign w:val="center"/>
          </w:tcPr>
          <w:p w14:paraId="02E73B80" w14:textId="77777777" w:rsidR="00EB0FF1" w:rsidRDefault="00EB0FF1" w:rsidP="00835BB6">
            <w:pPr>
              <w:rPr>
                <w:b/>
                <w:bCs/>
              </w:rPr>
            </w:pPr>
          </w:p>
        </w:tc>
        <w:tc>
          <w:tcPr>
            <w:tcW w:w="2070" w:type="dxa"/>
            <w:tcBorders>
              <w:top w:val="single" w:sz="4" w:space="0" w:color="auto"/>
              <w:left w:val="single" w:sz="4" w:space="0" w:color="auto"/>
              <w:bottom w:val="single" w:sz="4" w:space="0" w:color="auto"/>
              <w:right w:val="single" w:sz="4" w:space="0" w:color="auto"/>
            </w:tcBorders>
          </w:tcPr>
          <w:p w14:paraId="7BE2528C" w14:textId="77777777" w:rsidR="00EB0FF1" w:rsidRDefault="00EB0FF1" w:rsidP="00835BB6">
            <w:pPr>
              <w:jc w:val="center"/>
              <w:rPr>
                <w:b/>
                <w:bCs/>
              </w:rPr>
            </w:pPr>
          </w:p>
        </w:tc>
        <w:tc>
          <w:tcPr>
            <w:tcW w:w="9000" w:type="dxa"/>
            <w:tcBorders>
              <w:top w:val="single" w:sz="4" w:space="0" w:color="auto"/>
              <w:left w:val="single" w:sz="4" w:space="0" w:color="auto"/>
              <w:bottom w:val="single" w:sz="4" w:space="0" w:color="auto"/>
              <w:right w:val="single" w:sz="4" w:space="0" w:color="auto"/>
            </w:tcBorders>
            <w:vAlign w:val="center"/>
          </w:tcPr>
          <w:p w14:paraId="3485B5C8" w14:textId="77777777" w:rsidR="00EB0FF1" w:rsidRDefault="00EB0FF1" w:rsidP="00835BB6">
            <w:pPr>
              <w:rPr>
                <w:b/>
                <w:bCs/>
              </w:rPr>
            </w:pPr>
          </w:p>
        </w:tc>
      </w:tr>
      <w:tr w:rsidR="00EB0FF1" w14:paraId="7C301A2E" w14:textId="77777777" w:rsidTr="00835BB6">
        <w:tc>
          <w:tcPr>
            <w:tcW w:w="3325" w:type="dxa"/>
            <w:tcBorders>
              <w:top w:val="single" w:sz="4" w:space="0" w:color="auto"/>
              <w:left w:val="single" w:sz="4" w:space="0" w:color="auto"/>
              <w:bottom w:val="single" w:sz="4" w:space="0" w:color="auto"/>
              <w:right w:val="single" w:sz="4" w:space="0" w:color="auto"/>
            </w:tcBorders>
            <w:vAlign w:val="center"/>
          </w:tcPr>
          <w:p w14:paraId="4F9F2D0A" w14:textId="77777777" w:rsidR="00EB0FF1" w:rsidRDefault="00EB0FF1" w:rsidP="00835BB6">
            <w:pPr>
              <w:rPr>
                <w:b/>
                <w:bCs/>
              </w:rPr>
            </w:pPr>
          </w:p>
        </w:tc>
        <w:tc>
          <w:tcPr>
            <w:tcW w:w="2070" w:type="dxa"/>
            <w:tcBorders>
              <w:top w:val="single" w:sz="4" w:space="0" w:color="auto"/>
              <w:left w:val="single" w:sz="4" w:space="0" w:color="auto"/>
              <w:bottom w:val="single" w:sz="4" w:space="0" w:color="auto"/>
              <w:right w:val="single" w:sz="4" w:space="0" w:color="auto"/>
            </w:tcBorders>
          </w:tcPr>
          <w:p w14:paraId="288FA7FC" w14:textId="77777777" w:rsidR="00EB0FF1" w:rsidRDefault="00EB0FF1" w:rsidP="00835BB6">
            <w:pPr>
              <w:jc w:val="center"/>
              <w:rPr>
                <w:b/>
                <w:bCs/>
              </w:rPr>
            </w:pPr>
          </w:p>
        </w:tc>
        <w:tc>
          <w:tcPr>
            <w:tcW w:w="9000" w:type="dxa"/>
            <w:tcBorders>
              <w:top w:val="single" w:sz="4" w:space="0" w:color="auto"/>
              <w:left w:val="single" w:sz="4" w:space="0" w:color="auto"/>
              <w:bottom w:val="single" w:sz="4" w:space="0" w:color="auto"/>
              <w:right w:val="single" w:sz="4" w:space="0" w:color="auto"/>
            </w:tcBorders>
            <w:vAlign w:val="center"/>
          </w:tcPr>
          <w:p w14:paraId="2A2C2FBC" w14:textId="77777777" w:rsidR="00EB0FF1" w:rsidRDefault="00EB0FF1" w:rsidP="00835BB6">
            <w:pPr>
              <w:rPr>
                <w:b/>
                <w:bCs/>
              </w:rPr>
            </w:pPr>
          </w:p>
        </w:tc>
      </w:tr>
      <w:tr w:rsidR="00EB0FF1" w14:paraId="3861B070" w14:textId="77777777" w:rsidTr="00835BB6">
        <w:tc>
          <w:tcPr>
            <w:tcW w:w="3325" w:type="dxa"/>
            <w:tcBorders>
              <w:top w:val="single" w:sz="4" w:space="0" w:color="auto"/>
              <w:left w:val="single" w:sz="4" w:space="0" w:color="auto"/>
              <w:bottom w:val="single" w:sz="4" w:space="0" w:color="auto"/>
              <w:right w:val="single" w:sz="4" w:space="0" w:color="auto"/>
            </w:tcBorders>
            <w:vAlign w:val="center"/>
          </w:tcPr>
          <w:p w14:paraId="5C696393" w14:textId="77777777" w:rsidR="00EB0FF1" w:rsidRDefault="00EB0FF1" w:rsidP="00835BB6">
            <w:pPr>
              <w:rPr>
                <w:b/>
                <w:bCs/>
              </w:rPr>
            </w:pPr>
          </w:p>
        </w:tc>
        <w:tc>
          <w:tcPr>
            <w:tcW w:w="2070" w:type="dxa"/>
            <w:tcBorders>
              <w:top w:val="single" w:sz="4" w:space="0" w:color="auto"/>
              <w:left w:val="single" w:sz="4" w:space="0" w:color="auto"/>
              <w:bottom w:val="single" w:sz="4" w:space="0" w:color="auto"/>
              <w:right w:val="single" w:sz="4" w:space="0" w:color="auto"/>
            </w:tcBorders>
          </w:tcPr>
          <w:p w14:paraId="521DEAD3" w14:textId="77777777" w:rsidR="00EB0FF1" w:rsidRDefault="00EB0FF1" w:rsidP="00835BB6">
            <w:pPr>
              <w:jc w:val="center"/>
              <w:rPr>
                <w:b/>
                <w:bCs/>
              </w:rPr>
            </w:pPr>
          </w:p>
        </w:tc>
        <w:tc>
          <w:tcPr>
            <w:tcW w:w="9000" w:type="dxa"/>
            <w:tcBorders>
              <w:top w:val="single" w:sz="4" w:space="0" w:color="auto"/>
              <w:left w:val="single" w:sz="4" w:space="0" w:color="auto"/>
              <w:bottom w:val="single" w:sz="4" w:space="0" w:color="auto"/>
              <w:right w:val="single" w:sz="4" w:space="0" w:color="auto"/>
            </w:tcBorders>
            <w:vAlign w:val="center"/>
          </w:tcPr>
          <w:p w14:paraId="60C6741F" w14:textId="77777777" w:rsidR="00EB0FF1" w:rsidRDefault="00EB0FF1" w:rsidP="00835BB6">
            <w:pPr>
              <w:rPr>
                <w:b/>
                <w:bCs/>
              </w:rPr>
            </w:pPr>
          </w:p>
        </w:tc>
      </w:tr>
      <w:tr w:rsidR="00EB0FF1" w14:paraId="6CBFAC9A" w14:textId="77777777" w:rsidTr="00835BB6">
        <w:tc>
          <w:tcPr>
            <w:tcW w:w="3325" w:type="dxa"/>
            <w:tcBorders>
              <w:top w:val="single" w:sz="4" w:space="0" w:color="auto"/>
              <w:left w:val="single" w:sz="4" w:space="0" w:color="auto"/>
              <w:bottom w:val="single" w:sz="4" w:space="0" w:color="auto"/>
              <w:right w:val="single" w:sz="4" w:space="0" w:color="auto"/>
            </w:tcBorders>
            <w:vAlign w:val="center"/>
          </w:tcPr>
          <w:p w14:paraId="16BA971A" w14:textId="77777777" w:rsidR="00EB0FF1" w:rsidRDefault="00EB0FF1" w:rsidP="00835BB6">
            <w:pPr>
              <w:rPr>
                <w:b/>
                <w:bCs/>
              </w:rPr>
            </w:pPr>
          </w:p>
        </w:tc>
        <w:tc>
          <w:tcPr>
            <w:tcW w:w="2070" w:type="dxa"/>
            <w:tcBorders>
              <w:top w:val="single" w:sz="4" w:space="0" w:color="auto"/>
              <w:left w:val="single" w:sz="4" w:space="0" w:color="auto"/>
              <w:bottom w:val="single" w:sz="4" w:space="0" w:color="auto"/>
              <w:right w:val="single" w:sz="4" w:space="0" w:color="auto"/>
            </w:tcBorders>
          </w:tcPr>
          <w:p w14:paraId="0F436ED4" w14:textId="77777777" w:rsidR="00EB0FF1" w:rsidRDefault="00EB0FF1" w:rsidP="00835BB6">
            <w:pPr>
              <w:jc w:val="center"/>
              <w:rPr>
                <w:b/>
                <w:bCs/>
              </w:rPr>
            </w:pPr>
          </w:p>
        </w:tc>
        <w:tc>
          <w:tcPr>
            <w:tcW w:w="9000" w:type="dxa"/>
            <w:tcBorders>
              <w:top w:val="single" w:sz="4" w:space="0" w:color="auto"/>
              <w:left w:val="single" w:sz="4" w:space="0" w:color="auto"/>
              <w:bottom w:val="single" w:sz="4" w:space="0" w:color="auto"/>
              <w:right w:val="single" w:sz="4" w:space="0" w:color="auto"/>
            </w:tcBorders>
            <w:vAlign w:val="center"/>
          </w:tcPr>
          <w:p w14:paraId="28FF7F34" w14:textId="77777777" w:rsidR="00EB0FF1" w:rsidRDefault="00EB0FF1" w:rsidP="00835BB6">
            <w:pPr>
              <w:rPr>
                <w:b/>
                <w:bCs/>
              </w:rPr>
            </w:pPr>
          </w:p>
        </w:tc>
      </w:tr>
      <w:tr w:rsidR="00EB0FF1" w14:paraId="0FB20FCB" w14:textId="77777777" w:rsidTr="00835BB6">
        <w:tc>
          <w:tcPr>
            <w:tcW w:w="3325" w:type="dxa"/>
            <w:tcBorders>
              <w:top w:val="single" w:sz="4" w:space="0" w:color="auto"/>
              <w:left w:val="single" w:sz="4" w:space="0" w:color="auto"/>
              <w:bottom w:val="single" w:sz="4" w:space="0" w:color="auto"/>
              <w:right w:val="single" w:sz="4" w:space="0" w:color="auto"/>
            </w:tcBorders>
            <w:vAlign w:val="center"/>
          </w:tcPr>
          <w:p w14:paraId="104D916D" w14:textId="77777777" w:rsidR="00EB0FF1" w:rsidRDefault="00EB0FF1" w:rsidP="00835BB6">
            <w:pPr>
              <w:rPr>
                <w:b/>
                <w:bCs/>
              </w:rPr>
            </w:pPr>
          </w:p>
        </w:tc>
        <w:tc>
          <w:tcPr>
            <w:tcW w:w="2070" w:type="dxa"/>
            <w:tcBorders>
              <w:top w:val="single" w:sz="4" w:space="0" w:color="auto"/>
              <w:left w:val="single" w:sz="4" w:space="0" w:color="auto"/>
              <w:bottom w:val="single" w:sz="4" w:space="0" w:color="auto"/>
              <w:right w:val="single" w:sz="4" w:space="0" w:color="auto"/>
            </w:tcBorders>
          </w:tcPr>
          <w:p w14:paraId="0AD0B148" w14:textId="77777777" w:rsidR="00EB0FF1" w:rsidRDefault="00EB0FF1" w:rsidP="00835BB6">
            <w:pPr>
              <w:jc w:val="center"/>
              <w:rPr>
                <w:b/>
                <w:bCs/>
              </w:rPr>
            </w:pPr>
          </w:p>
        </w:tc>
        <w:tc>
          <w:tcPr>
            <w:tcW w:w="9000" w:type="dxa"/>
            <w:tcBorders>
              <w:top w:val="single" w:sz="4" w:space="0" w:color="auto"/>
              <w:left w:val="single" w:sz="4" w:space="0" w:color="auto"/>
              <w:bottom w:val="single" w:sz="4" w:space="0" w:color="auto"/>
              <w:right w:val="single" w:sz="4" w:space="0" w:color="auto"/>
            </w:tcBorders>
            <w:vAlign w:val="center"/>
          </w:tcPr>
          <w:p w14:paraId="032DD0DB" w14:textId="77777777" w:rsidR="00EB0FF1" w:rsidRDefault="00EB0FF1" w:rsidP="00835BB6">
            <w:pPr>
              <w:rPr>
                <w:b/>
                <w:bCs/>
              </w:rPr>
            </w:pPr>
          </w:p>
        </w:tc>
      </w:tr>
      <w:tr w:rsidR="00EB0FF1" w14:paraId="034432A7" w14:textId="77777777" w:rsidTr="00835BB6">
        <w:tc>
          <w:tcPr>
            <w:tcW w:w="3325" w:type="dxa"/>
            <w:tcBorders>
              <w:top w:val="single" w:sz="4" w:space="0" w:color="auto"/>
              <w:left w:val="single" w:sz="4" w:space="0" w:color="auto"/>
              <w:bottom w:val="single" w:sz="4" w:space="0" w:color="auto"/>
              <w:right w:val="single" w:sz="4" w:space="0" w:color="auto"/>
            </w:tcBorders>
            <w:vAlign w:val="center"/>
          </w:tcPr>
          <w:p w14:paraId="3D1494FF" w14:textId="77777777" w:rsidR="00EB0FF1" w:rsidRDefault="00EB0FF1" w:rsidP="00835BB6">
            <w:pPr>
              <w:rPr>
                <w:b/>
                <w:bCs/>
              </w:rPr>
            </w:pPr>
          </w:p>
        </w:tc>
        <w:tc>
          <w:tcPr>
            <w:tcW w:w="2070" w:type="dxa"/>
            <w:tcBorders>
              <w:top w:val="single" w:sz="4" w:space="0" w:color="auto"/>
              <w:left w:val="single" w:sz="4" w:space="0" w:color="auto"/>
              <w:bottom w:val="single" w:sz="4" w:space="0" w:color="auto"/>
              <w:right w:val="single" w:sz="4" w:space="0" w:color="auto"/>
            </w:tcBorders>
          </w:tcPr>
          <w:p w14:paraId="59A4D898" w14:textId="77777777" w:rsidR="00EB0FF1" w:rsidRDefault="00EB0FF1" w:rsidP="00835BB6">
            <w:pPr>
              <w:jc w:val="center"/>
              <w:rPr>
                <w:b/>
                <w:bCs/>
              </w:rPr>
            </w:pPr>
          </w:p>
        </w:tc>
        <w:tc>
          <w:tcPr>
            <w:tcW w:w="9000" w:type="dxa"/>
            <w:tcBorders>
              <w:top w:val="single" w:sz="4" w:space="0" w:color="auto"/>
              <w:left w:val="single" w:sz="4" w:space="0" w:color="auto"/>
              <w:bottom w:val="single" w:sz="4" w:space="0" w:color="auto"/>
              <w:right w:val="single" w:sz="4" w:space="0" w:color="auto"/>
            </w:tcBorders>
            <w:vAlign w:val="center"/>
          </w:tcPr>
          <w:p w14:paraId="241636E2" w14:textId="77777777" w:rsidR="00EB0FF1" w:rsidRDefault="00EB0FF1" w:rsidP="00835BB6">
            <w:pPr>
              <w:rPr>
                <w:b/>
                <w:bCs/>
              </w:rPr>
            </w:pPr>
          </w:p>
        </w:tc>
      </w:tr>
      <w:tr w:rsidR="00EB0FF1" w14:paraId="69D8A8F3" w14:textId="77777777" w:rsidTr="00835BB6">
        <w:tc>
          <w:tcPr>
            <w:tcW w:w="3325" w:type="dxa"/>
            <w:tcBorders>
              <w:top w:val="single" w:sz="4" w:space="0" w:color="auto"/>
              <w:left w:val="single" w:sz="4" w:space="0" w:color="auto"/>
              <w:bottom w:val="single" w:sz="4" w:space="0" w:color="auto"/>
              <w:right w:val="single" w:sz="4" w:space="0" w:color="auto"/>
            </w:tcBorders>
            <w:vAlign w:val="center"/>
          </w:tcPr>
          <w:p w14:paraId="6A57ED22" w14:textId="77777777" w:rsidR="00EB0FF1" w:rsidRDefault="00EB0FF1" w:rsidP="00835BB6">
            <w:pPr>
              <w:rPr>
                <w:b/>
                <w:bCs/>
              </w:rPr>
            </w:pPr>
          </w:p>
        </w:tc>
        <w:tc>
          <w:tcPr>
            <w:tcW w:w="2070" w:type="dxa"/>
            <w:tcBorders>
              <w:top w:val="single" w:sz="4" w:space="0" w:color="auto"/>
              <w:left w:val="single" w:sz="4" w:space="0" w:color="auto"/>
              <w:bottom w:val="single" w:sz="4" w:space="0" w:color="auto"/>
              <w:right w:val="single" w:sz="4" w:space="0" w:color="auto"/>
            </w:tcBorders>
          </w:tcPr>
          <w:p w14:paraId="4A312199" w14:textId="77777777" w:rsidR="00EB0FF1" w:rsidRDefault="00EB0FF1" w:rsidP="00835BB6">
            <w:pPr>
              <w:jc w:val="center"/>
              <w:rPr>
                <w:b/>
                <w:bCs/>
              </w:rPr>
            </w:pPr>
          </w:p>
        </w:tc>
        <w:tc>
          <w:tcPr>
            <w:tcW w:w="9000" w:type="dxa"/>
            <w:tcBorders>
              <w:top w:val="single" w:sz="4" w:space="0" w:color="auto"/>
              <w:left w:val="single" w:sz="4" w:space="0" w:color="auto"/>
              <w:bottom w:val="single" w:sz="4" w:space="0" w:color="auto"/>
              <w:right w:val="single" w:sz="4" w:space="0" w:color="auto"/>
            </w:tcBorders>
            <w:vAlign w:val="center"/>
          </w:tcPr>
          <w:p w14:paraId="59E2B8CE" w14:textId="77777777" w:rsidR="00EB0FF1" w:rsidRDefault="00EB0FF1" w:rsidP="00835BB6">
            <w:pPr>
              <w:rPr>
                <w:b/>
                <w:bCs/>
              </w:rPr>
            </w:pPr>
          </w:p>
        </w:tc>
      </w:tr>
      <w:tr w:rsidR="00EB0FF1" w14:paraId="34089A7E" w14:textId="77777777" w:rsidTr="00835BB6">
        <w:tc>
          <w:tcPr>
            <w:tcW w:w="3325" w:type="dxa"/>
            <w:tcBorders>
              <w:top w:val="single" w:sz="4" w:space="0" w:color="auto"/>
              <w:left w:val="single" w:sz="4" w:space="0" w:color="auto"/>
              <w:bottom w:val="single" w:sz="4" w:space="0" w:color="auto"/>
              <w:right w:val="single" w:sz="4" w:space="0" w:color="auto"/>
            </w:tcBorders>
            <w:vAlign w:val="center"/>
          </w:tcPr>
          <w:p w14:paraId="37D6649E" w14:textId="77777777" w:rsidR="00EB0FF1" w:rsidRDefault="00EB0FF1" w:rsidP="00835BB6">
            <w:pPr>
              <w:rPr>
                <w:b/>
                <w:bCs/>
              </w:rPr>
            </w:pPr>
          </w:p>
        </w:tc>
        <w:tc>
          <w:tcPr>
            <w:tcW w:w="2070" w:type="dxa"/>
            <w:tcBorders>
              <w:top w:val="single" w:sz="4" w:space="0" w:color="auto"/>
              <w:left w:val="single" w:sz="4" w:space="0" w:color="auto"/>
              <w:bottom w:val="single" w:sz="4" w:space="0" w:color="auto"/>
              <w:right w:val="single" w:sz="4" w:space="0" w:color="auto"/>
            </w:tcBorders>
          </w:tcPr>
          <w:p w14:paraId="36DEE248" w14:textId="77777777" w:rsidR="00EB0FF1" w:rsidRDefault="00EB0FF1" w:rsidP="00835BB6">
            <w:pPr>
              <w:jc w:val="center"/>
              <w:rPr>
                <w:b/>
                <w:bCs/>
              </w:rPr>
            </w:pPr>
          </w:p>
        </w:tc>
        <w:tc>
          <w:tcPr>
            <w:tcW w:w="9000" w:type="dxa"/>
            <w:tcBorders>
              <w:top w:val="single" w:sz="4" w:space="0" w:color="auto"/>
              <w:left w:val="single" w:sz="4" w:space="0" w:color="auto"/>
              <w:bottom w:val="single" w:sz="4" w:space="0" w:color="auto"/>
              <w:right w:val="single" w:sz="4" w:space="0" w:color="auto"/>
            </w:tcBorders>
            <w:vAlign w:val="center"/>
          </w:tcPr>
          <w:p w14:paraId="1F9BB8AD" w14:textId="77777777" w:rsidR="00EB0FF1" w:rsidRDefault="00EB0FF1" w:rsidP="00835BB6">
            <w:pPr>
              <w:rPr>
                <w:b/>
                <w:bCs/>
              </w:rPr>
            </w:pPr>
          </w:p>
        </w:tc>
      </w:tr>
      <w:tr w:rsidR="00835BB6" w14:paraId="7EDB33FF" w14:textId="77777777" w:rsidTr="00835BB6">
        <w:tc>
          <w:tcPr>
            <w:tcW w:w="3325" w:type="dxa"/>
            <w:tcBorders>
              <w:top w:val="single" w:sz="4" w:space="0" w:color="auto"/>
              <w:left w:val="single" w:sz="4" w:space="0" w:color="auto"/>
              <w:bottom w:val="single" w:sz="4" w:space="0" w:color="auto"/>
              <w:right w:val="single" w:sz="4" w:space="0" w:color="auto"/>
            </w:tcBorders>
            <w:vAlign w:val="center"/>
          </w:tcPr>
          <w:p w14:paraId="1E70146A" w14:textId="77777777" w:rsidR="00835BB6" w:rsidRDefault="00835BB6" w:rsidP="00835BB6">
            <w:pPr>
              <w:rPr>
                <w:b/>
                <w:bCs/>
              </w:rPr>
            </w:pPr>
          </w:p>
        </w:tc>
        <w:tc>
          <w:tcPr>
            <w:tcW w:w="2070" w:type="dxa"/>
            <w:tcBorders>
              <w:top w:val="single" w:sz="4" w:space="0" w:color="auto"/>
              <w:left w:val="single" w:sz="4" w:space="0" w:color="auto"/>
              <w:bottom w:val="single" w:sz="4" w:space="0" w:color="auto"/>
              <w:right w:val="single" w:sz="4" w:space="0" w:color="auto"/>
            </w:tcBorders>
          </w:tcPr>
          <w:p w14:paraId="4CCBF7F4" w14:textId="77777777" w:rsidR="00835BB6" w:rsidRDefault="00835BB6" w:rsidP="00835BB6">
            <w:pPr>
              <w:jc w:val="center"/>
              <w:rPr>
                <w:b/>
                <w:bCs/>
              </w:rPr>
            </w:pPr>
          </w:p>
        </w:tc>
        <w:tc>
          <w:tcPr>
            <w:tcW w:w="9000" w:type="dxa"/>
            <w:tcBorders>
              <w:top w:val="single" w:sz="4" w:space="0" w:color="auto"/>
              <w:left w:val="single" w:sz="4" w:space="0" w:color="auto"/>
              <w:bottom w:val="single" w:sz="4" w:space="0" w:color="auto"/>
              <w:right w:val="single" w:sz="4" w:space="0" w:color="auto"/>
            </w:tcBorders>
            <w:vAlign w:val="center"/>
          </w:tcPr>
          <w:p w14:paraId="47F4367D" w14:textId="77777777" w:rsidR="00835BB6" w:rsidRDefault="00835BB6" w:rsidP="00835BB6">
            <w:pPr>
              <w:rPr>
                <w:b/>
                <w:bCs/>
              </w:rPr>
            </w:pPr>
          </w:p>
        </w:tc>
      </w:tr>
    </w:tbl>
    <w:p w14:paraId="461B82EC" w14:textId="18E62F13" w:rsidR="00835BB6" w:rsidRDefault="00835BB6" w:rsidP="00BB354B">
      <w:pPr>
        <w:pStyle w:val="AddressBlockDate"/>
        <w:spacing w:before="120"/>
        <w:jc w:val="right"/>
      </w:pPr>
      <w:r>
        <w:t xml:space="preserve">Minnesota Department of Health | Indoor Air Unit | </w:t>
      </w:r>
      <w:hyperlink r:id="rId16" w:history="1">
        <w:r w:rsidRPr="00865848">
          <w:rPr>
            <w:rStyle w:val="Hyperlink"/>
          </w:rPr>
          <w:t>health.indoorair@state.mn.us</w:t>
        </w:r>
      </w:hyperlink>
      <w:r>
        <w:t xml:space="preserve"> | </w:t>
      </w:r>
      <w:hyperlink r:id="rId17" w:history="1">
        <w:r w:rsidRPr="00835BB6">
          <w:rPr>
            <w:rStyle w:val="Hyperlink"/>
          </w:rPr>
          <w:t>mn.gov/radon</w:t>
        </w:r>
      </w:hyperlink>
      <w:r>
        <w:t xml:space="preserve"> </w:t>
      </w:r>
    </w:p>
    <w:p w14:paraId="794D3432" w14:textId="287A6DAE" w:rsidR="008222D2" w:rsidRPr="008222D2" w:rsidRDefault="00835BB6" w:rsidP="00BB354B">
      <w:pPr>
        <w:pStyle w:val="AddressBlockDate"/>
        <w:spacing w:before="120"/>
        <w:jc w:val="right"/>
      </w:pPr>
      <w:r>
        <w:t>Updated 10/14/2025 | To obtain this information in a different format, call: 651-201-4601.</w:t>
      </w:r>
    </w:p>
    <w:sectPr w:rsidR="008222D2" w:rsidRPr="008222D2" w:rsidSect="0052170B">
      <w:headerReference w:type="default" r:id="rId18"/>
      <w:footerReference w:type="default" r:id="rId19"/>
      <w:footerReference w:type="first" r:id="rId20"/>
      <w:pgSz w:w="15840" w:h="12240" w:orient="landscape"/>
      <w:pgMar w:top="720" w:right="720" w:bottom="720" w:left="720" w:header="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BA517" w14:textId="77777777" w:rsidR="00CC0CAD" w:rsidRDefault="00CC0CAD" w:rsidP="00D36495">
      <w:r>
        <w:separator/>
      </w:r>
    </w:p>
  </w:endnote>
  <w:endnote w:type="continuationSeparator" w:id="0">
    <w:p w14:paraId="01BF4F66" w14:textId="77777777" w:rsidR="00CC0CAD" w:rsidRDefault="00CC0CAD"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41170"/>
      <w:docPartObj>
        <w:docPartGallery w:val="Page Numbers (Bottom of Page)"/>
        <w:docPartUnique/>
      </w:docPartObj>
    </w:sdtPr>
    <w:sdtEndPr/>
    <w:sdtContent>
      <w:p w14:paraId="228B019A" w14:textId="77777777" w:rsidR="00EB0FF1" w:rsidRDefault="00EB0FF1" w:rsidP="00B45CED">
        <w:pPr>
          <w:pStyle w:val="Header"/>
        </w:pPr>
        <w:r w:rsidRPr="007E537B">
          <w:fldChar w:fldCharType="begin"/>
        </w:r>
        <w:r w:rsidRPr="007E537B">
          <w:instrText xml:space="preserve"> PAGE   \* MERGEFORMAT </w:instrText>
        </w:r>
        <w:r w:rsidRPr="007E537B">
          <w:fldChar w:fldCharType="separate"/>
        </w:r>
        <w:r>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583012"/>
      <w:docPartObj>
        <w:docPartGallery w:val="Page Numbers (Bottom of Page)"/>
        <w:docPartUnique/>
      </w:docPartObj>
    </w:sdtPr>
    <w:sdtEndPr>
      <w:rPr>
        <w:rStyle w:val="HeaderChar"/>
        <w:caps/>
        <w:color w:val="003865" w:themeColor="text1"/>
        <w:spacing w:val="40"/>
        <w:sz w:val="20"/>
      </w:rPr>
    </w:sdtEndPr>
    <w:sdtContent>
      <w:p w14:paraId="446D3612" w14:textId="77777777" w:rsidR="00EB0FF1" w:rsidRPr="00EE4C86" w:rsidRDefault="00EB0FF1"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Pr>
            <w:rStyle w:val="HeaderChar"/>
            <w:noProof/>
          </w:rPr>
          <w:t>1</w:t>
        </w:r>
        <w:r w:rsidRPr="00EE4C86">
          <w:rPr>
            <w:rStyle w:val="HeaderCha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468C670F"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rPr>
    </w:sdtEndPr>
    <w:sdtContent>
      <w:p w14:paraId="11ABE6E7"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1E81E" w14:textId="77777777" w:rsidR="00CC0CAD" w:rsidRDefault="00CC0CAD" w:rsidP="00D36495">
      <w:r>
        <w:separator/>
      </w:r>
    </w:p>
  </w:footnote>
  <w:footnote w:type="continuationSeparator" w:id="0">
    <w:p w14:paraId="674D234C" w14:textId="77777777" w:rsidR="00CC0CAD" w:rsidRDefault="00CC0CAD"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64E0" w14:textId="77777777" w:rsidR="00EB0FF1" w:rsidRPr="00D552D7" w:rsidRDefault="00EB0FF1" w:rsidP="001E09DA">
    <w:pPr>
      <w:pStyle w:val="Header"/>
    </w:pPr>
    <w:r>
      <w:t>Maintenance inspection 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E5DB" w14:textId="64DED426" w:rsidR="00782710" w:rsidRPr="00D552D7" w:rsidRDefault="00782710" w:rsidP="001E0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3D3678A9"/>
    <w:multiLevelType w:val="multilevel"/>
    <w:tmpl w:val="8F84222E"/>
    <w:lvl w:ilvl="0">
      <w:start w:val="10"/>
      <w:numFmt w:val="decimal"/>
      <w:lvlText w:val="%1"/>
      <w:lvlJc w:val="left"/>
      <w:pPr>
        <w:ind w:left="3205" w:hanging="556"/>
      </w:pPr>
      <w:rPr>
        <w:rFonts w:hint="default"/>
        <w:lang w:val="en-US" w:eastAsia="en-US" w:bidi="ar-SA"/>
      </w:rPr>
    </w:lvl>
    <w:lvl w:ilvl="1">
      <w:numFmt w:val="decimal"/>
      <w:lvlText w:val="%1.%2"/>
      <w:lvlJc w:val="left"/>
      <w:pPr>
        <w:ind w:left="3205" w:hanging="556"/>
        <w:jc w:val="right"/>
      </w:pPr>
      <w:rPr>
        <w:rFonts w:ascii="Trebuchet MS" w:eastAsia="Trebuchet MS" w:hAnsi="Trebuchet MS" w:cs="Trebuchet MS" w:hint="default"/>
        <w:b w:val="0"/>
        <w:bCs w:val="0"/>
        <w:i w:val="0"/>
        <w:iCs w:val="0"/>
        <w:spacing w:val="0"/>
        <w:w w:val="97"/>
        <w:sz w:val="24"/>
        <w:szCs w:val="24"/>
        <w:lang w:val="en-US" w:eastAsia="en-US" w:bidi="ar-SA"/>
      </w:rPr>
    </w:lvl>
    <w:lvl w:ilvl="2">
      <w:start w:val="1"/>
      <w:numFmt w:val="decimal"/>
      <w:lvlText w:val="%1.%2.%3"/>
      <w:lvlJc w:val="left"/>
      <w:pPr>
        <w:ind w:left="1064" w:hanging="721"/>
      </w:pPr>
      <w:rPr>
        <w:rFonts w:hint="default"/>
        <w:spacing w:val="-1"/>
        <w:w w:val="84"/>
        <w:lang w:val="en-US" w:eastAsia="en-US" w:bidi="ar-SA"/>
      </w:rPr>
    </w:lvl>
    <w:lvl w:ilvl="3">
      <w:start w:val="1"/>
      <w:numFmt w:val="lowerLetter"/>
      <w:lvlText w:val="%4)"/>
      <w:lvlJc w:val="left"/>
      <w:pPr>
        <w:ind w:left="1603" w:hanging="360"/>
      </w:pPr>
      <w:rPr>
        <w:rFonts w:ascii="Gill Sans MT" w:eastAsia="Gill Sans MT" w:hAnsi="Gill Sans MT" w:cs="Gill Sans MT" w:hint="default"/>
        <w:b w:val="0"/>
        <w:bCs w:val="0"/>
        <w:i w:val="0"/>
        <w:iCs w:val="0"/>
        <w:spacing w:val="-1"/>
        <w:w w:val="109"/>
        <w:sz w:val="22"/>
        <w:szCs w:val="22"/>
        <w:lang w:val="en-US" w:eastAsia="en-US" w:bidi="ar-SA"/>
      </w:rPr>
    </w:lvl>
    <w:lvl w:ilvl="4">
      <w:start w:val="1"/>
      <w:numFmt w:val="decimal"/>
      <w:lvlText w:val="%5."/>
      <w:lvlJc w:val="left"/>
      <w:pPr>
        <w:ind w:left="2143" w:hanging="360"/>
      </w:pPr>
      <w:rPr>
        <w:rFonts w:ascii="Gill Sans MT" w:eastAsia="Gill Sans MT" w:hAnsi="Gill Sans MT" w:cs="Gill Sans MT" w:hint="default"/>
        <w:b w:val="0"/>
        <w:bCs w:val="0"/>
        <w:i w:val="0"/>
        <w:iCs w:val="0"/>
        <w:spacing w:val="-1"/>
        <w:w w:val="81"/>
        <w:sz w:val="22"/>
        <w:szCs w:val="22"/>
        <w:lang w:val="en-US" w:eastAsia="en-US" w:bidi="ar-SA"/>
      </w:rPr>
    </w:lvl>
    <w:lvl w:ilvl="5">
      <w:start w:val="1"/>
      <w:numFmt w:val="lowerLetter"/>
      <w:lvlText w:val="%6."/>
      <w:lvlJc w:val="left"/>
      <w:pPr>
        <w:ind w:left="2684" w:hanging="360"/>
      </w:pPr>
      <w:rPr>
        <w:rFonts w:ascii="Gill Sans MT" w:eastAsia="Gill Sans MT" w:hAnsi="Gill Sans MT" w:cs="Gill Sans MT" w:hint="default"/>
        <w:b w:val="0"/>
        <w:bCs w:val="0"/>
        <w:i w:val="0"/>
        <w:iCs w:val="0"/>
        <w:spacing w:val="-1"/>
        <w:w w:val="115"/>
        <w:sz w:val="22"/>
        <w:szCs w:val="22"/>
        <w:lang w:val="en-US" w:eastAsia="en-US" w:bidi="ar-SA"/>
      </w:rPr>
    </w:lvl>
    <w:lvl w:ilvl="6">
      <w:numFmt w:val="bullet"/>
      <w:lvlText w:val="•"/>
      <w:lvlJc w:val="left"/>
      <w:pPr>
        <w:ind w:left="4824" w:hanging="360"/>
      </w:pPr>
      <w:rPr>
        <w:rFonts w:hint="default"/>
        <w:lang w:val="en-US" w:eastAsia="en-US" w:bidi="ar-SA"/>
      </w:rPr>
    </w:lvl>
    <w:lvl w:ilvl="7">
      <w:numFmt w:val="bullet"/>
      <w:lvlText w:val="•"/>
      <w:lvlJc w:val="left"/>
      <w:pPr>
        <w:ind w:left="6448" w:hanging="360"/>
      </w:pPr>
      <w:rPr>
        <w:rFonts w:hint="default"/>
        <w:lang w:val="en-US" w:eastAsia="en-US" w:bidi="ar-SA"/>
      </w:rPr>
    </w:lvl>
    <w:lvl w:ilvl="8">
      <w:numFmt w:val="bullet"/>
      <w:lvlText w:val="•"/>
      <w:lvlJc w:val="left"/>
      <w:pPr>
        <w:ind w:left="8072" w:hanging="360"/>
      </w:pPr>
      <w:rPr>
        <w:rFonts w:hint="default"/>
        <w:lang w:val="en-US" w:eastAsia="en-US" w:bidi="ar-SA"/>
      </w:rPr>
    </w:lvl>
  </w:abstractNum>
  <w:abstractNum w:abstractNumId="14"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5"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E18EB"/>
    <w:multiLevelType w:val="hybridMultilevel"/>
    <w:tmpl w:val="B776CD54"/>
    <w:lvl w:ilvl="0" w:tplc="BD9EE938">
      <w:start w:val="8"/>
      <w:numFmt w:val="bullet"/>
      <w:lvlText w:val="-"/>
      <w:lvlJc w:val="left"/>
      <w:pPr>
        <w:ind w:left="720" w:hanging="360"/>
      </w:pPr>
      <w:rPr>
        <w:rFonts w:ascii="Aptos" w:eastAsiaTheme="minorHAnsi" w:hAnsi="Aptos" w:cstheme="minorBidi" w:hint="default"/>
        <w:w w:val="105"/>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0E06FC"/>
    <w:multiLevelType w:val="hybridMultilevel"/>
    <w:tmpl w:val="376A6C8C"/>
    <w:lvl w:ilvl="0" w:tplc="D2C2F72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301888487">
    <w:abstractNumId w:val="5"/>
  </w:num>
  <w:num w:numId="2" w16cid:durableId="187525654">
    <w:abstractNumId w:val="1"/>
  </w:num>
  <w:num w:numId="3" w16cid:durableId="1756244440">
    <w:abstractNumId w:val="12"/>
  </w:num>
  <w:num w:numId="4" w16cid:durableId="102068745">
    <w:abstractNumId w:val="18"/>
  </w:num>
  <w:num w:numId="5" w16cid:durableId="287861487">
    <w:abstractNumId w:val="9"/>
  </w:num>
  <w:num w:numId="6" w16cid:durableId="1449230002">
    <w:abstractNumId w:val="8"/>
  </w:num>
  <w:num w:numId="7" w16cid:durableId="1384519088">
    <w:abstractNumId w:val="11"/>
  </w:num>
  <w:num w:numId="8" w16cid:durableId="1098328591">
    <w:abstractNumId w:val="10"/>
  </w:num>
  <w:num w:numId="9" w16cid:durableId="543948993">
    <w:abstractNumId w:val="15"/>
  </w:num>
  <w:num w:numId="10" w16cid:durableId="2117941304">
    <w:abstractNumId w:val="14"/>
  </w:num>
  <w:num w:numId="11" w16cid:durableId="38819297">
    <w:abstractNumId w:val="4"/>
  </w:num>
  <w:num w:numId="12" w16cid:durableId="592591201">
    <w:abstractNumId w:val="0"/>
  </w:num>
  <w:num w:numId="13" w16cid:durableId="1757823379">
    <w:abstractNumId w:val="7"/>
  </w:num>
  <w:num w:numId="14" w16cid:durableId="648098927">
    <w:abstractNumId w:val="6"/>
  </w:num>
  <w:num w:numId="15" w16cid:durableId="1028026059">
    <w:abstractNumId w:val="3"/>
  </w:num>
  <w:num w:numId="16" w16cid:durableId="1929725395">
    <w:abstractNumId w:val="2"/>
  </w:num>
  <w:num w:numId="17" w16cid:durableId="795102689">
    <w:abstractNumId w:val="17"/>
  </w:num>
  <w:num w:numId="18" w16cid:durableId="489102028">
    <w:abstractNumId w:val="13"/>
  </w:num>
  <w:num w:numId="19" w16cid:durableId="2039548166">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2D2"/>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0F8"/>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88D"/>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018B"/>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5A64"/>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E57"/>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74B"/>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8AE"/>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B7E27"/>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1EFE"/>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0F1B"/>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2C8"/>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70B"/>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284D"/>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B95"/>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6D06"/>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2D2"/>
    <w:rsid w:val="00822457"/>
    <w:rsid w:val="00822718"/>
    <w:rsid w:val="00822803"/>
    <w:rsid w:val="00823EE8"/>
    <w:rsid w:val="00824A97"/>
    <w:rsid w:val="00824D8A"/>
    <w:rsid w:val="008250D5"/>
    <w:rsid w:val="0082562F"/>
    <w:rsid w:val="00826C5E"/>
    <w:rsid w:val="00826E11"/>
    <w:rsid w:val="00826EE5"/>
    <w:rsid w:val="00826F7B"/>
    <w:rsid w:val="008309E9"/>
    <w:rsid w:val="008311F7"/>
    <w:rsid w:val="00831301"/>
    <w:rsid w:val="0083188D"/>
    <w:rsid w:val="00834ACA"/>
    <w:rsid w:val="00835BB6"/>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40C"/>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DAE"/>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0F3"/>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54B"/>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59F"/>
    <w:rsid w:val="00BF7730"/>
    <w:rsid w:val="00BF7890"/>
    <w:rsid w:val="00BF7FD7"/>
    <w:rsid w:val="00C00CE3"/>
    <w:rsid w:val="00C017D5"/>
    <w:rsid w:val="00C01B5D"/>
    <w:rsid w:val="00C028BB"/>
    <w:rsid w:val="00C03239"/>
    <w:rsid w:val="00C03382"/>
    <w:rsid w:val="00C035BD"/>
    <w:rsid w:val="00C04A75"/>
    <w:rsid w:val="00C04E48"/>
    <w:rsid w:val="00C06322"/>
    <w:rsid w:val="00C065C4"/>
    <w:rsid w:val="00C066F7"/>
    <w:rsid w:val="00C06CD7"/>
    <w:rsid w:val="00C07294"/>
    <w:rsid w:val="00C07BCA"/>
    <w:rsid w:val="00C07EC9"/>
    <w:rsid w:val="00C10EF7"/>
    <w:rsid w:val="00C112F6"/>
    <w:rsid w:val="00C11B37"/>
    <w:rsid w:val="00C12D12"/>
    <w:rsid w:val="00C12FB2"/>
    <w:rsid w:val="00C137D1"/>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2D1"/>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B78CA"/>
    <w:rsid w:val="00CC054C"/>
    <w:rsid w:val="00CC0CAD"/>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2E52"/>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0FF1"/>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A7D"/>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477"/>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A5DCFF"/>
  <w15:docId w15:val="{489E7419-4B1E-4607-A381-1C1EEF17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uiPriority="1" w:qFormat="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1"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1"/>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styleId="BodyText">
    <w:name w:val="Body Text"/>
    <w:basedOn w:val="Normal"/>
    <w:link w:val="BodyTextChar"/>
    <w:uiPriority w:val="1"/>
    <w:qFormat/>
    <w:locked/>
    <w:rsid w:val="008222D2"/>
    <w:pPr>
      <w:widowControl w:val="0"/>
      <w:suppressAutoHyphens w:val="0"/>
      <w:autoSpaceDE w:val="0"/>
      <w:autoSpaceDN w:val="0"/>
      <w:spacing w:before="0" w:after="0"/>
    </w:pPr>
    <w:rPr>
      <w:rFonts w:ascii="Gill Sans MT" w:eastAsia="Gill Sans MT" w:hAnsi="Gill Sans MT" w:cs="Gill Sans MT"/>
      <w:sz w:val="22"/>
    </w:rPr>
  </w:style>
  <w:style w:type="character" w:customStyle="1" w:styleId="BodyTextChar">
    <w:name w:val="Body Text Char"/>
    <w:basedOn w:val="DefaultParagraphFont"/>
    <w:link w:val="BodyText"/>
    <w:uiPriority w:val="1"/>
    <w:rsid w:val="008222D2"/>
    <w:rPr>
      <w:rFonts w:ascii="Gill Sans MT" w:eastAsia="Gill Sans MT" w:hAnsi="Gill Sans MT" w:cs="Gill Sans MT"/>
    </w:rPr>
  </w:style>
  <w:style w:type="character" w:styleId="CommentReference">
    <w:name w:val="annotation reference"/>
    <w:basedOn w:val="DefaultParagraphFont"/>
    <w:semiHidden/>
    <w:unhideWhenUsed/>
    <w:locked/>
    <w:rsid w:val="00EB0FF1"/>
    <w:rPr>
      <w:sz w:val="16"/>
      <w:szCs w:val="16"/>
    </w:rPr>
  </w:style>
  <w:style w:type="paragraph" w:styleId="CommentText">
    <w:name w:val="annotation text"/>
    <w:basedOn w:val="Normal"/>
    <w:link w:val="CommentTextChar"/>
    <w:unhideWhenUsed/>
    <w:locked/>
    <w:rsid w:val="00EB0FF1"/>
    <w:rPr>
      <w:sz w:val="20"/>
      <w:szCs w:val="20"/>
    </w:rPr>
  </w:style>
  <w:style w:type="character" w:customStyle="1" w:styleId="CommentTextChar">
    <w:name w:val="Comment Text Char"/>
    <w:basedOn w:val="DefaultParagraphFont"/>
    <w:link w:val="CommentText"/>
    <w:rsid w:val="00EB0FF1"/>
    <w:rPr>
      <w:sz w:val="20"/>
      <w:szCs w:val="20"/>
    </w:rPr>
  </w:style>
  <w:style w:type="character" w:styleId="UnresolvedMention">
    <w:name w:val="Unresolved Mention"/>
    <w:basedOn w:val="DefaultParagraphFont"/>
    <w:uiPriority w:val="99"/>
    <w:semiHidden/>
    <w:unhideWhenUsed/>
    <w:rsid w:val="00622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health.state.mn.us/communities/environment/air/radon/index.html" TargetMode="External"/><Relationship Id="rId2" Type="http://schemas.openxmlformats.org/officeDocument/2006/relationships/customXml" Target="../customXml/item2.xml"/><Relationship Id="rId16" Type="http://schemas.openxmlformats.org/officeDocument/2006/relationships/hyperlink" Target="mailto:health.indoorair@state.mn.u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lant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b9712537d076d3e65ef73f911a4e074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7b344f422e9b7a4ad174fb28f82963e3"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BF5A84-D146-4B84-B77D-38529A5E057B}">
  <ds:schemaRefs>
    <ds:schemaRef ds:uri="http://schemas.microsoft.com/office/2006/metadata/properties"/>
    <ds:schemaRef ds:uri="http://schemas.microsoft.com/office/infopath/2007/PartnerControls"/>
    <ds:schemaRef ds:uri="98f01fe9-c3f2-4582-9148-d87bd0c242e7"/>
  </ds:schemaRefs>
</ds:datastoreItem>
</file>

<file path=customXml/itemProps2.xml><?xml version="1.0" encoding="utf-8"?>
<ds:datastoreItem xmlns:ds="http://schemas.openxmlformats.org/officeDocument/2006/customXml" ds:itemID="{7B5E99B6-F50D-4251-82AB-4F107265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4.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5.xml><?xml version="1.0" encoding="utf-8"?>
<ds:datastoreItem xmlns:ds="http://schemas.openxmlformats.org/officeDocument/2006/customXml" ds:itemID="{626E2921-4307-4585-9C52-2146A984A1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1</TotalTime>
  <Pages>3</Pages>
  <Words>780</Words>
  <Characters>4705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OM&amp;M Manual for Systems Not Maintained by the Occupant</dc:title>
  <dc:subject>OM&amp;M Manual for Systems Not Maintained by the Occupant</dc:subject>
  <dc:creator>MDH-EH-Indoor Air</dc:creator>
  <cp:keywords/>
  <dc:description>Document template version 2.2</dc:description>
  <cp:lastModifiedBy>Leland, Tina (MDH)</cp:lastModifiedBy>
  <cp:revision>2</cp:revision>
  <cp:lastPrinted>2016-12-14T18:03:00Z</cp:lastPrinted>
  <dcterms:created xsi:type="dcterms:W3CDTF">2025-10-15T14:34:00Z</dcterms:created>
  <dcterms:modified xsi:type="dcterms:W3CDTF">2025-10-15T14:34:00Z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